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4"/>
        <w:tblW w:w="11057" w:type="dxa"/>
        <w:tblInd w:w="-147" w:type="dxa"/>
        <w:tblLook w:val="04A0" w:firstRow="1" w:lastRow="0" w:firstColumn="1" w:lastColumn="0" w:noHBand="0" w:noVBand="1"/>
      </w:tblPr>
      <w:tblGrid>
        <w:gridCol w:w="1843"/>
        <w:gridCol w:w="2127"/>
        <w:gridCol w:w="3260"/>
        <w:gridCol w:w="2126"/>
        <w:gridCol w:w="1701"/>
      </w:tblGrid>
      <w:tr w:rsidR="00126444" w:rsidRPr="00743D1E" w:rsidTr="000D071B">
        <w:tc>
          <w:tcPr>
            <w:tcW w:w="1843" w:type="dxa"/>
            <w:vMerge w:val="restart"/>
          </w:tcPr>
          <w:p w:rsidR="00126444" w:rsidRPr="004E04C9" w:rsidRDefault="00126444" w:rsidP="000D071B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>
              <w:rPr>
                <w:noProof/>
                <w:lang w:val="en-US"/>
              </w:rPr>
              <w:drawing>
                <wp:inline distT="0" distB="0" distL="0" distR="0" wp14:anchorId="2EE261D3" wp14:editId="3DCF9AAB">
                  <wp:extent cx="701040" cy="506095"/>
                  <wp:effectExtent l="0" t="0" r="381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OHLÁŠENÍ ZA ÚČELEM OZNÁMENÍ PENĚŽNÍ HOTOVOSTI – DOPLŇKOVÝ LIST</w:t>
            </w:r>
          </w:p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Článek 4 nařízení (EU) 2018/1672 </w:t>
            </w:r>
          </w:p>
        </w:tc>
      </w:tr>
      <w:tr w:rsidR="00126444" w:rsidRPr="00743D1E" w:rsidTr="000D071B">
        <w:trPr>
          <w:trHeight w:val="193"/>
        </w:trPr>
        <w:tc>
          <w:tcPr>
            <w:tcW w:w="1843" w:type="dxa"/>
            <w:vMerge/>
          </w:tcPr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lang w:val="en-IE" w:eastAsia="fr-BE"/>
              </w:rPr>
            </w:pPr>
          </w:p>
        </w:tc>
        <w:tc>
          <w:tcPr>
            <w:tcW w:w="5387" w:type="dxa"/>
            <w:gridSpan w:val="2"/>
            <w:shd w:val="clear" w:color="auto" w:fill="BFBFBF" w:themeFill="background1" w:themeFillShade="BF"/>
          </w:tcPr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Vyplní příslušný úřad</w:t>
            </w:r>
          </w:p>
        </w:tc>
        <w:tc>
          <w:tcPr>
            <w:tcW w:w="2126" w:type="dxa"/>
            <w:vMerge w:val="restart"/>
            <w:shd w:val="clear" w:color="auto" w:fill="538135" w:themeFill="accent6" w:themeFillShade="BF"/>
          </w:tcPr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A. Číslo doplňkového listu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</w:tr>
      <w:tr w:rsidR="00126444" w:rsidRPr="00743D1E" w:rsidTr="000D071B">
        <w:trPr>
          <w:trHeight w:val="206"/>
        </w:trPr>
        <w:tc>
          <w:tcPr>
            <w:tcW w:w="1843" w:type="dxa"/>
            <w:vMerge/>
          </w:tcPr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lang w:val="en-IE" w:eastAsia="fr-BE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Referenční číslo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  <w:tc>
          <w:tcPr>
            <w:tcW w:w="2126" w:type="dxa"/>
            <w:vMerge/>
            <w:shd w:val="clear" w:color="auto" w:fill="538135" w:themeFill="accent6" w:themeFillShade="BF"/>
          </w:tcPr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26444" w:rsidRPr="00743D1E" w:rsidRDefault="00126444" w:rsidP="000D071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</w:tr>
    </w:tbl>
    <w:p w:rsidR="00126444" w:rsidRPr="00743D1E" w:rsidRDefault="00126444" w:rsidP="00126444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</w:rPr>
      </w:pPr>
      <w:r>
        <w:rPr>
          <w:noProof/>
          <w:sz w:val="6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D62BE" wp14:editId="5F71FDF2">
                <wp:simplePos x="0" y="0"/>
                <wp:positionH relativeFrom="margin">
                  <wp:posOffset>1992630</wp:posOffset>
                </wp:positionH>
                <wp:positionV relativeFrom="paragraph">
                  <wp:posOffset>-1379221</wp:posOffset>
                </wp:positionV>
                <wp:extent cx="2436575" cy="257175"/>
                <wp:effectExtent l="0" t="0" r="190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5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6444" w:rsidRPr="00013443" w:rsidRDefault="00126444" w:rsidP="001264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Část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D62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6.9pt;margin-top:-108.6pt;width:191.85pt;height:2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" fillcolor="white [3201]" stroked="f" strokeweight=".5pt">
                <v:textbox>
                  <w:txbxContent>
                    <w:p w:rsidR="00126444" w:rsidRPr="00013443" w:rsidRDefault="00126444" w:rsidP="001264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Část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4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4253"/>
        <w:gridCol w:w="6095"/>
      </w:tblGrid>
      <w:tr w:rsidR="00126444" w:rsidRPr="00743D1E" w:rsidTr="000D071B">
        <w:tc>
          <w:tcPr>
            <w:tcW w:w="11057" w:type="dxa"/>
            <w:gridSpan w:val="4"/>
            <w:shd w:val="clear" w:color="auto" w:fill="538135" w:themeFill="accent6" w:themeFillShade="BF"/>
          </w:tcPr>
          <w:p w:rsidR="00126444" w:rsidRPr="00743D1E" w:rsidRDefault="00126444" w:rsidP="000D071B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B. Údaje o doplňkovém listu</w:t>
            </w:r>
            <w:r>
              <w:rPr>
                <w:color w:val="000000" w:themeColor="text1"/>
                <w:sz w:val="16"/>
                <w:szCs w:val="16"/>
              </w:rPr>
              <w:t xml:space="preserve"> (Zaškrtněte pouze jednu možnost.</w:t>
            </w:r>
            <w: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Je-li relevantních více možností, vyplňte pro každou další možnost samostatný doplňkový list.)</w:t>
            </w:r>
          </w:p>
        </w:tc>
      </w:tr>
      <w:tr w:rsidR="00126444" w:rsidRPr="00743D1E" w:rsidTr="000D071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B.1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149709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3D1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Pokračování oddílu „Údaje o peněžní hotovosti“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Další informace o peněžní hotovosti uveďte v oddílu C.</w:t>
            </w:r>
          </w:p>
        </w:tc>
      </w:tr>
      <w:tr w:rsidR="00126444" w:rsidRPr="00743D1E" w:rsidTr="000D071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Odesílatel </w:t>
            </w:r>
            <w:r>
              <w:rPr>
                <w:sz w:val="16"/>
                <w:szCs w:val="16"/>
                <w:u w:val="single"/>
              </w:rPr>
              <w:t>je</w:t>
            </w:r>
            <w:r>
              <w:rPr>
                <w:sz w:val="16"/>
                <w:szCs w:val="16"/>
              </w:rPr>
              <w:t xml:space="preserve"> vlastníkem části peněžní hotovosti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V oddílech C a D uveďte informace týkající se vlastněné části peněžní hotovosti.</w:t>
            </w:r>
          </w:p>
        </w:tc>
      </w:tr>
      <w:tr w:rsidR="00126444" w:rsidRPr="00743D1E" w:rsidTr="000D071B">
        <w:tc>
          <w:tcPr>
            <w:tcW w:w="426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Jediný příjemce je vlastníkem části peněžní hotovosti 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V oddílech C a D uveďte informace týkající se pouze vlastněné části peněžní hotovosti a vyplňte oddíl E.</w:t>
            </w:r>
          </w:p>
        </w:tc>
      </w:tr>
      <w:tr w:rsidR="00126444" w:rsidRPr="00743D1E" w:rsidTr="000D071B">
        <w:tc>
          <w:tcPr>
            <w:tcW w:w="426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Příjemce</w:t>
            </w:r>
            <w:r>
              <w:rPr>
                <w:strike/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nebo zamýšlený příjemce, </w:t>
            </w:r>
            <w:r>
              <w:rPr>
                <w:sz w:val="16"/>
                <w:szCs w:val="16"/>
                <w:u w:val="single"/>
              </w:rPr>
              <w:t>který vlastní</w:t>
            </w:r>
            <w:r>
              <w:rPr>
                <w:sz w:val="16"/>
                <w:szCs w:val="16"/>
              </w:rPr>
              <w:t xml:space="preserve"> část peněžní hotovosti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V oddílech C a D uveďte informace týkající se pouze vlastněné části peněžní hotovosti, a vyplňte oddíl E.</w:t>
            </w:r>
          </w:p>
        </w:tc>
      </w:tr>
      <w:tr w:rsidR="00126444" w:rsidRPr="00743D1E" w:rsidTr="000D071B">
        <w:tc>
          <w:tcPr>
            <w:tcW w:w="426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eastAsia="Calibri" w:cs="Times New Roman"/>
                  <w:sz w:val="16"/>
                  <w:szCs w:val="16"/>
                </w:rPr>
                <w:id w:val="-20757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3D1E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Vlastník části peněžní hotovosti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V oddílech C a D uveďte informace týkající se vlastněné části peněžní hotovosti a vyplňte oddíl E.</w:t>
            </w:r>
          </w:p>
        </w:tc>
      </w:tr>
      <w:tr w:rsidR="00126444" w:rsidRPr="00743D1E" w:rsidTr="000D071B">
        <w:tc>
          <w:tcPr>
            <w:tcW w:w="426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eastAsia="Calibri" w:cs="Times New Roman"/>
                  <w:sz w:val="16"/>
                  <w:szCs w:val="16"/>
                </w:rPr>
                <w:id w:val="21027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3D1E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Příjemce nebo zamýšlený příjemce části peněžní hotovosti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V oddílech C a D2 uveďte informace týkající se částky peněžní hotovosti, jež má být přijata, a vyplňte oddíl E.</w:t>
            </w:r>
          </w:p>
        </w:tc>
      </w:tr>
    </w:tbl>
    <w:p w:rsidR="00126444" w:rsidRPr="00AC41AF" w:rsidRDefault="00126444" w:rsidP="00126444">
      <w:pPr>
        <w:tabs>
          <w:tab w:val="left" w:pos="9923"/>
        </w:tabs>
        <w:spacing w:after="0"/>
        <w:rPr>
          <w:color w:val="000000" w:themeColor="text1"/>
          <w:sz w:val="4"/>
          <w:szCs w:val="4"/>
        </w:rPr>
      </w:pPr>
    </w:p>
    <w:tbl>
      <w:tblPr>
        <w:tblStyle w:val="TableGrid21"/>
        <w:tblW w:w="11057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1985"/>
        <w:gridCol w:w="850"/>
        <w:gridCol w:w="1712"/>
        <w:gridCol w:w="454"/>
        <w:gridCol w:w="2087"/>
        <w:gridCol w:w="1559"/>
      </w:tblGrid>
      <w:tr w:rsidR="00126444" w:rsidRPr="00743D1E" w:rsidTr="000D071B">
        <w:trPr>
          <w:trHeight w:val="270"/>
        </w:trPr>
        <w:tc>
          <w:tcPr>
            <w:tcW w:w="11057" w:type="dxa"/>
            <w:gridSpan w:val="7"/>
            <w:tcBorders>
              <w:top w:val="single" w:sz="4" w:space="0" w:color="auto"/>
            </w:tcBorders>
            <w:shd w:val="clear" w:color="auto" w:fill="538135" w:themeFill="accent6" w:themeFillShade="BF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 Údaje o peněžní hotovosti</w:t>
            </w:r>
          </w:p>
        </w:tc>
      </w:tr>
      <w:tr w:rsidR="00126444" w:rsidRPr="00743D1E" w:rsidTr="000D071B">
        <w:trPr>
          <w:trHeight w:val="201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Oběživo </w:t>
            </w:r>
          </w:p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(bankovky a mince)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126444" w:rsidRPr="00743D1E" w:rsidTr="000D071B">
        <w:tc>
          <w:tcPr>
            <w:tcW w:w="2410" w:type="dxa"/>
            <w:vMerge/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26444" w:rsidRPr="00FA12B6" w:rsidRDefault="00126444" w:rsidP="000D071B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712" w:type="dxa"/>
            <w:shd w:val="clear" w:color="auto" w:fill="auto"/>
          </w:tcPr>
          <w:p w:rsidR="00126444" w:rsidRPr="00FA12B6" w:rsidRDefault="00126444" w:rsidP="000D071B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444" w:rsidRPr="00FA12B6" w:rsidRDefault="00126444" w:rsidP="000D071B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26444" w:rsidRPr="00FA12B6" w:rsidRDefault="00126444" w:rsidP="000D071B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26444" w:rsidRPr="00743D1E" w:rsidTr="000D071B">
        <w:trPr>
          <w:trHeight w:val="351"/>
        </w:trPr>
        <w:tc>
          <w:tcPr>
            <w:tcW w:w="2410" w:type="dxa"/>
            <w:vMerge/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26444" w:rsidRPr="00FA12B6" w:rsidRDefault="00126444" w:rsidP="000D071B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712" w:type="dxa"/>
            <w:shd w:val="clear" w:color="auto" w:fill="auto"/>
          </w:tcPr>
          <w:p w:rsidR="00126444" w:rsidRPr="00FA12B6" w:rsidRDefault="00126444" w:rsidP="000D071B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444" w:rsidRPr="00FA12B6" w:rsidRDefault="00126444" w:rsidP="000D071B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26444" w:rsidRPr="00FA12B6" w:rsidRDefault="00126444" w:rsidP="000D071B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26444" w:rsidRPr="00743D1E" w:rsidTr="000D071B">
        <w:trPr>
          <w:trHeight w:val="105"/>
        </w:trPr>
        <w:tc>
          <w:tcPr>
            <w:tcW w:w="2410" w:type="dxa"/>
            <w:vMerge w:val="restart"/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Převoditelné nástroje na doručitele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547" w:type="dxa"/>
            <w:gridSpan w:val="3"/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Druh převoditelného nástroje na doručitele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Hodnota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126444" w:rsidRPr="00743D1E" w:rsidTr="000D071B">
        <w:trPr>
          <w:trHeight w:val="230"/>
        </w:trPr>
        <w:tc>
          <w:tcPr>
            <w:tcW w:w="2410" w:type="dxa"/>
            <w:vMerge/>
            <w:tcBorders>
              <w:bottom w:val="single" w:sz="4" w:space="0" w:color="000000" w:themeColor="text1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547" w:type="dxa"/>
            <w:gridSpan w:val="3"/>
            <w:shd w:val="clear" w:color="auto" w:fill="auto"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76" w:lineRule="auto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76" w:lineRule="auto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26444" w:rsidRPr="00743D1E" w:rsidTr="000D071B">
        <w:trPr>
          <w:trHeight w:val="193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Komodity používané jako vysoce likvidní prostředky k uchovávání hodnoty (tj. zlato)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Druh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Množství</w:t>
            </w: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Celková hmotnost (v gramech)</w:t>
            </w:r>
          </w:p>
        </w:tc>
        <w:tc>
          <w:tcPr>
            <w:tcW w:w="2087" w:type="dxa"/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126444" w:rsidRPr="00743D1E" w:rsidTr="000D071B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5"/>
                <w:szCs w:val="15"/>
                <w:lang w:val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126444" w:rsidRPr="00743D1E" w:rsidRDefault="00126444" w:rsidP="00126444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tbl>
      <w:tblPr>
        <w:tblStyle w:val="TableGrid2"/>
        <w:tblW w:w="11057" w:type="dxa"/>
        <w:tblInd w:w="-147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126444" w:rsidRPr="00743D1E" w:rsidTr="000D071B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538135" w:themeFill="accent6" w:themeFillShade="BF"/>
          </w:tcPr>
          <w:p w:rsidR="00126444" w:rsidRPr="00743D1E" w:rsidRDefault="00126444" w:rsidP="000D071B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D. Ekonomický původ a zamýšlené použití peněžní hotovosti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0000" w:themeColor="text1"/>
                <w:sz w:val="16"/>
                <w:szCs w:val="16"/>
              </w:rPr>
              <w:t>v pododdílech D.1 a D.2 lze zaškrtnout více možností)</w:t>
            </w:r>
          </w:p>
        </w:tc>
      </w:tr>
      <w:tr w:rsidR="00126444" w:rsidRPr="00743D1E" w:rsidTr="000D071B">
        <w:trPr>
          <w:trHeight w:val="297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D.1 Ekonomický původ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D.2 Zamýšlené použití </w:t>
            </w:r>
          </w:p>
        </w:tc>
      </w:tr>
      <w:tr w:rsidR="00126444" w:rsidRPr="00743D1E" w:rsidTr="000D071B">
        <w:trPr>
          <w:trHeight w:val="1770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3245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Výnosy z pracovní činnosti (mzda, důchod, příjem z podnikání atd.)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0747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Kapitálové výnosy (dividendy, investiční zisky, úrok, pojistné plnění atd.)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4231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Prodej nemovitosti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68929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Prodej movité věci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68189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Úvěr poskytnutý fyzickou osobou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2584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Úvěr poskytnutý právnickou osobou (úvěrovou institucí, bankou nebo společností)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9984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Loterie / hazardní hry</w:t>
            </w:r>
            <w:bookmarkStart w:id="0" w:name="_GoBack"/>
            <w:bookmarkEnd w:id="0"/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84443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Dar/příspěvek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42538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Dědictví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59446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Přeprava mezi finančními institucemi 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79224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Jiné (uveďte) _______________________________________________________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128601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>
              <w:rPr>
                <w:color w:val="000000" w:themeColor="text1"/>
                <w:sz w:val="15"/>
                <w:szCs w:val="15"/>
              </w:rPr>
              <w:t xml:space="preserve"> Výdaje na pracovní činnost (platy, investiční podnikání atd.)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51707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>
              <w:rPr>
                <w:color w:val="000000" w:themeColor="text1"/>
                <w:sz w:val="15"/>
                <w:szCs w:val="15"/>
              </w:rPr>
              <w:t xml:space="preserve"> Kapitálové investice (vklady na bankovní účet, platby pojistného atd.)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4879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>
              <w:rPr>
                <w:color w:val="000000" w:themeColor="text1"/>
                <w:sz w:val="15"/>
                <w:szCs w:val="15"/>
              </w:rPr>
              <w:t xml:space="preserve"> Prostředky na nákup nemovitosti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37909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>
              <w:rPr>
                <w:color w:val="000000" w:themeColor="text1"/>
                <w:sz w:val="15"/>
                <w:szCs w:val="15"/>
              </w:rPr>
              <w:t xml:space="preserve"> Prostředky na nákup movité věci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11692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>
              <w:rPr>
                <w:color w:val="000000" w:themeColor="text1"/>
                <w:sz w:val="15"/>
                <w:szCs w:val="15"/>
              </w:rPr>
              <w:t xml:space="preserve"> Splátka úvěru poskytnutého fyzickou osobou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72443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>
              <w:rPr>
                <w:color w:val="000000" w:themeColor="text1"/>
                <w:sz w:val="15"/>
                <w:szCs w:val="15"/>
              </w:rPr>
              <w:t xml:space="preserve"> Splátka úvěru poskytnutého právnickou osobou (úvěrovou institucí, bankou nebo společností)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1848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>
              <w:rPr>
                <w:color w:val="000000" w:themeColor="text1"/>
                <w:sz w:val="15"/>
                <w:szCs w:val="15"/>
              </w:rPr>
              <w:t xml:space="preserve"> Loterie / hazardní hry 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04096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>
              <w:rPr>
                <w:color w:val="000000" w:themeColor="text1"/>
                <w:sz w:val="15"/>
                <w:szCs w:val="15"/>
              </w:rPr>
              <w:t xml:space="preserve"> Charita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4044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>
              <w:rPr>
                <w:color w:val="000000" w:themeColor="text1"/>
                <w:sz w:val="15"/>
                <w:szCs w:val="15"/>
              </w:rPr>
              <w:t xml:space="preserve"> Hotovost pro velitele plavidla / palubní hotovost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24842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>
              <w:rPr>
                <w:color w:val="000000" w:themeColor="text1"/>
                <w:sz w:val="15"/>
                <w:szCs w:val="15"/>
              </w:rPr>
              <w:t xml:space="preserve"> Přeprava mezi finančními institucemi</w:t>
            </w:r>
          </w:p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203068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1AF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color w:val="000000" w:themeColor="text1"/>
                <w:sz w:val="15"/>
                <w:szCs w:val="15"/>
              </w:rPr>
              <w:t>Jiné (uveďte) _______________________________________________________</w:t>
            </w:r>
          </w:p>
        </w:tc>
      </w:tr>
    </w:tbl>
    <w:p w:rsidR="00126444" w:rsidRPr="00743D1E" w:rsidRDefault="00126444" w:rsidP="00126444">
      <w:pPr>
        <w:spacing w:after="0"/>
        <w:rPr>
          <w:color w:val="000000" w:themeColor="text1"/>
          <w:sz w:val="4"/>
          <w:szCs w:val="4"/>
        </w:rPr>
      </w:pPr>
    </w:p>
    <w:tbl>
      <w:tblPr>
        <w:tblStyle w:val="TableGrid61"/>
        <w:tblW w:w="11057" w:type="dxa"/>
        <w:tblInd w:w="-147" w:type="dxa"/>
        <w:tblLook w:val="04A0" w:firstRow="1" w:lastRow="0" w:firstColumn="1" w:lastColumn="0" w:noHBand="0" w:noVBand="1"/>
      </w:tblPr>
      <w:tblGrid>
        <w:gridCol w:w="1843"/>
        <w:gridCol w:w="635"/>
        <w:gridCol w:w="907"/>
        <w:gridCol w:w="553"/>
        <w:gridCol w:w="293"/>
        <w:gridCol w:w="447"/>
        <w:gridCol w:w="890"/>
        <w:gridCol w:w="1407"/>
        <w:gridCol w:w="397"/>
        <w:gridCol w:w="1010"/>
        <w:gridCol w:w="494"/>
        <w:gridCol w:w="1334"/>
        <w:gridCol w:w="847"/>
      </w:tblGrid>
      <w:tr w:rsidR="00126444" w:rsidRPr="00743D1E" w:rsidTr="000D071B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26444" w:rsidRPr="00743D1E" w:rsidRDefault="00126444" w:rsidP="000D071B">
            <w:pPr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E. Zúčastněné osoby </w:t>
            </w:r>
          </w:p>
        </w:tc>
      </w:tr>
      <w:tr w:rsidR="00126444" w:rsidRPr="00743D1E" w:rsidTr="000D071B">
        <w:tc>
          <w:tcPr>
            <w:tcW w:w="5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444" w:rsidRPr="00743D1E" w:rsidRDefault="00126444" w:rsidP="000D071B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E.1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116562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Fyzická osoba</w:t>
            </w: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444" w:rsidRPr="00743D1E" w:rsidRDefault="00126444" w:rsidP="000D071B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E.2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207423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Právnická osoba</w:t>
            </w:r>
          </w:p>
        </w:tc>
      </w:tr>
      <w:tr w:rsidR="00126444" w:rsidRPr="00743D1E" w:rsidTr="000D071B">
        <w:trPr>
          <w:trHeight w:val="3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Jméno (jména) 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rPr>
          <w:trHeight w:val="1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Příjmení 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Identifikační číslo (IČO)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spacing w:after="200"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Pohlaví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4"/>
                <w:szCs w:val="14"/>
              </w:rPr>
            </w:pPr>
            <w:sdt>
              <w:sdtPr>
                <w:rPr>
                  <w:color w:val="000000" w:themeColor="text1"/>
                  <w:sz w:val="14"/>
                  <w:szCs w:val="14"/>
                </w:rPr>
                <w:id w:val="-14775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color w:val="000000" w:themeColor="text1"/>
                <w:sz w:val="14"/>
                <w:szCs w:val="14"/>
              </w:rPr>
              <w:t xml:space="preserve">    muž 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4158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color w:val="000000" w:themeColor="text1"/>
                <w:sz w:val="14"/>
                <w:szCs w:val="14"/>
              </w:rPr>
              <w:t xml:space="preserve">  žena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101430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color w:val="000000" w:themeColor="text1"/>
                <w:sz w:val="14"/>
                <w:szCs w:val="14"/>
              </w:rPr>
              <w:t xml:space="preserve"> jiné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 rejstříku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 narození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  <w:r>
              <w:rPr>
                <w:color w:val="767171" w:themeColor="background2" w:themeShade="80"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zápisu do rejstříku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spacing w:after="120"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</w:p>
        </w:tc>
      </w:tr>
      <w:tr w:rsidR="00126444" w:rsidRPr="00743D1E" w:rsidTr="000D071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Místo narození 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obec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země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Daňové identifikační číslo (DIČ)*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Doklad totožnosti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33985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color w:val="000000" w:themeColor="text1"/>
                <w:sz w:val="14"/>
                <w:szCs w:val="14"/>
              </w:rPr>
              <w:t xml:space="preserve"> cestovní pas 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 občanský průkaz 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 jiné (uveďte)</w:t>
            </w:r>
          </w:p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4F417B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Registrační a identifikační číslo hospodářských subjektů (EORI)*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spacing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rPr>
          <w:trHeight w:val="3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Číslo dokladu totožnosti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Adresa</w:t>
            </w:r>
          </w:p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spacing w:line="24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spacing w:line="24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číslo</w:t>
            </w:r>
          </w:p>
        </w:tc>
      </w:tr>
      <w:tr w:rsidR="00126444" w:rsidRPr="00743D1E" w:rsidTr="000D071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vydání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Datum vydání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line="2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Státní příslušnost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rPr>
          <w:trHeight w:val="14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Osobní identifikační číslo*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rPr>
          <w:trHeight w:val="3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2A6970" w:rsidRDefault="00126444" w:rsidP="000D071B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126444" w:rsidRPr="00743D1E" w:rsidRDefault="00126444" w:rsidP="000D071B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číslo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E-mailová adresa*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26444" w:rsidRPr="00743D1E" w:rsidRDefault="00126444" w:rsidP="000D0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F. Podpis </w:t>
            </w:r>
          </w:p>
        </w:tc>
      </w:tr>
      <w:tr w:rsidR="00126444" w:rsidRPr="00743D1E" w:rsidTr="000D071B">
        <w:trPr>
          <w:trHeight w:val="1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PSČ*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48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26444" w:rsidRPr="00FA12B6" w:rsidRDefault="00126444" w:rsidP="000D071B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Potvrzuji, že tento doplňkový list je nedílnou součástí oznámení peněžní hotovosti, k němuž je přiložen. </w:t>
            </w:r>
          </w:p>
        </w:tc>
      </w:tr>
      <w:tr w:rsidR="00126444" w:rsidRPr="00743D1E" w:rsidTr="000D071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Země 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Podpis </w:t>
            </w:r>
          </w:p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:rsidR="00126444" w:rsidRPr="00743D1E" w:rsidRDefault="00126444" w:rsidP="000D071B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:rsidR="00126444" w:rsidRPr="00743D1E" w:rsidRDefault="00126444" w:rsidP="000D071B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Jméno a příjmení podepisující osoby:</w:t>
            </w:r>
          </w:p>
        </w:tc>
      </w:tr>
      <w:tr w:rsidR="00126444" w:rsidRPr="00743D1E" w:rsidTr="000D071B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444" w:rsidRPr="00743D1E" w:rsidRDefault="00126444" w:rsidP="000D071B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E-mailová adresa*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743D1E" w:rsidRDefault="00126444" w:rsidP="000D071B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6444" w:rsidRPr="00743D1E" w:rsidRDefault="00126444" w:rsidP="000D071B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126444" w:rsidRPr="00743D1E" w:rsidTr="000D071B">
        <w:trPr>
          <w:trHeight w:val="187"/>
        </w:trPr>
        <w:tc>
          <w:tcPr>
            <w:tcW w:w="556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6444" w:rsidRPr="00743D1E" w:rsidRDefault="00126444" w:rsidP="000D071B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*Je-li relevantní nebo dostupné. Pokud není relevantní nebo dostupné, uveďte „nevztahuje se“.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4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6444" w:rsidRPr="00743D1E" w:rsidRDefault="00126444" w:rsidP="000D071B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</w:tr>
      <w:tr w:rsidR="00126444" w:rsidRPr="00743D1E" w:rsidTr="000D071B">
        <w:trPr>
          <w:trHeight w:val="243"/>
        </w:trPr>
        <w:tc>
          <w:tcPr>
            <w:tcW w:w="5568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26444" w:rsidRPr="00743D1E" w:rsidRDefault="00126444" w:rsidP="000D071B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</w:tcPr>
          <w:p w:rsidR="00126444" w:rsidRPr="00743D1E" w:rsidRDefault="00126444" w:rsidP="000D071B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Místo 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spacing w:before="60" w:line="180" w:lineRule="exact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vertAlign w:val="superscript"/>
              </w:rPr>
              <w:t>obec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44" w:rsidRPr="00FA12B6" w:rsidRDefault="00126444" w:rsidP="000D071B">
            <w:pPr>
              <w:spacing w:before="60" w:line="180" w:lineRule="exact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vertAlign w:val="superscript"/>
              </w:rPr>
              <w:t>země</w:t>
            </w:r>
          </w:p>
        </w:tc>
      </w:tr>
    </w:tbl>
    <w:p w:rsidR="00126444" w:rsidRPr="00743D1E" w:rsidRDefault="00126444" w:rsidP="00126444">
      <w:pPr>
        <w:spacing w:after="0"/>
        <w:rPr>
          <w:color w:val="000000" w:themeColor="text1"/>
          <w:sz w:val="4"/>
          <w:szCs w:val="4"/>
        </w:rPr>
      </w:pPr>
    </w:p>
    <w:p w:rsidR="00126444" w:rsidRDefault="00126444" w:rsidP="00126444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:rsidR="00126444" w:rsidRPr="00743D1E" w:rsidRDefault="00126444" w:rsidP="00126444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 </w:t>
      </w:r>
    </w:p>
    <w:p w:rsidR="00126444" w:rsidRPr="00743D1E" w:rsidRDefault="00126444" w:rsidP="00126444">
      <w:pPr>
        <w:tabs>
          <w:tab w:val="left" w:pos="9923"/>
        </w:tabs>
        <w:spacing w:after="120" w:line="220" w:lineRule="exact"/>
        <w:jc w:val="both"/>
        <w:rPr>
          <w:color w:val="000000" w:themeColor="text1"/>
          <w:sz w:val="4"/>
          <w:szCs w:val="4"/>
        </w:rPr>
      </w:pPr>
    </w:p>
    <w:p w:rsidR="00FB27A6" w:rsidRDefault="00FB27A6"/>
    <w:sectPr w:rsidR="00FB27A6" w:rsidSect="002A6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BA0" w:rsidRDefault="009C2BA0" w:rsidP="00126444">
      <w:pPr>
        <w:spacing w:after="0" w:line="240" w:lineRule="auto"/>
      </w:pPr>
      <w:r>
        <w:separator/>
      </w:r>
    </w:p>
  </w:endnote>
  <w:endnote w:type="continuationSeparator" w:id="0">
    <w:p w:rsidR="009C2BA0" w:rsidRDefault="009C2BA0" w:rsidP="0012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C2B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C2B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C2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BA0" w:rsidRDefault="009C2BA0" w:rsidP="00126444">
      <w:pPr>
        <w:spacing w:after="0" w:line="240" w:lineRule="auto"/>
      </w:pPr>
      <w:r>
        <w:separator/>
      </w:r>
    </w:p>
  </w:footnote>
  <w:footnote w:type="continuationSeparator" w:id="0">
    <w:p w:rsidR="009C2BA0" w:rsidRDefault="009C2BA0" w:rsidP="0012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C2B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C2B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C2B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44"/>
    <w:rsid w:val="00126444"/>
    <w:rsid w:val="009C2BA0"/>
    <w:rsid w:val="00F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987E"/>
  <w15:chartTrackingRefBased/>
  <w15:docId w15:val="{46D7255B-07DF-4E8E-BF47-E23DEFBC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2">
    <w:name w:val="Table Grid2"/>
    <w:basedOn w:val="Normlntabulka"/>
    <w:next w:val="Mkatabulky"/>
    <w:uiPriority w:val="59"/>
    <w:rsid w:val="0012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26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44"/>
  </w:style>
  <w:style w:type="paragraph" w:styleId="Zpat">
    <w:name w:val="footer"/>
    <w:basedOn w:val="Normln"/>
    <w:link w:val="ZpatChar"/>
    <w:uiPriority w:val="99"/>
    <w:unhideWhenUsed/>
    <w:rsid w:val="00126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44"/>
  </w:style>
  <w:style w:type="table" w:customStyle="1" w:styleId="TableGrid4">
    <w:name w:val="Table Grid4"/>
    <w:basedOn w:val="Normlntabulka"/>
    <w:next w:val="Mkatabulky"/>
    <w:uiPriority w:val="59"/>
    <w:rsid w:val="0012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lntabulka"/>
    <w:next w:val="Mkatabulky"/>
    <w:uiPriority w:val="59"/>
    <w:rsid w:val="0012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Normlntabulka"/>
    <w:uiPriority w:val="59"/>
    <w:rsid w:val="001264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12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0EE9FC1304B4D8F92F0F08464169A" ma:contentTypeVersion="1" ma:contentTypeDescription="Vytvoří nový dokument" ma:contentTypeScope="" ma:versionID="0c30131968cc8d51caef7485faffd6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209a967f15348df40b024c289f9d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49797E-2FB6-4386-B261-C6401DDBD303}"/>
</file>

<file path=customXml/itemProps2.xml><?xml version="1.0" encoding="utf-8"?>
<ds:datastoreItem xmlns:ds="http://schemas.openxmlformats.org/officeDocument/2006/customXml" ds:itemID="{A840AFAB-4A82-4C19-AFB7-02B335376421}"/>
</file>

<file path=customXml/itemProps3.xml><?xml version="1.0" encoding="utf-8"?>
<ds:datastoreItem xmlns:ds="http://schemas.openxmlformats.org/officeDocument/2006/customXml" ds:itemID="{386A6C90-3856-475D-8F74-49DA7BF31E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Martínková Jana, Mgr., kpt.</dc:creator>
  <cp:keywords/>
  <dc:description/>
  <cp:lastModifiedBy>Martínková Jana, Mgr., kpt.</cp:lastModifiedBy>
  <cp:revision>1</cp:revision>
  <dcterms:created xsi:type="dcterms:W3CDTF">2021-06-23T07:02:00Z</dcterms:created>
  <dcterms:modified xsi:type="dcterms:W3CDTF">2021-06-23T07:04:00Z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0x0101006F80EE9FC1304B4D8F92F0F08464169A</vt:lpwstr>
  </property>
  <property fmtid="{D5CDD505-2E9C-101B-9397-08002B2CF9AE}" pid="3" name="Order">
    <vt:r8>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