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4F68" w14:textId="77777777" w:rsidR="00780A99" w:rsidRPr="005C4F87" w:rsidRDefault="00B85674" w:rsidP="00B85674">
      <w:pPr>
        <w:jc w:val="center"/>
        <w:rPr>
          <w:lang w:val="en-GB"/>
        </w:rPr>
      </w:pPr>
      <w:r w:rsidRPr="005C4F87">
        <w:rPr>
          <w:lang w:val="en-GB"/>
        </w:rPr>
        <w:t>The Czech Customs Directorate</w:t>
      </w:r>
      <w:r w:rsidR="00BF5F6C" w:rsidRPr="005C4F87">
        <w:rPr>
          <w:lang w:val="en-GB"/>
        </w:rPr>
        <w:t xml:space="preserve"> General</w:t>
      </w:r>
    </w:p>
    <w:p w14:paraId="4E024F69" w14:textId="77777777" w:rsidR="00B85674" w:rsidRPr="005C4F87" w:rsidRDefault="00B85674" w:rsidP="00B85674">
      <w:pPr>
        <w:jc w:val="center"/>
        <w:rPr>
          <w:lang w:val="en-GB"/>
        </w:rPr>
      </w:pPr>
      <w:r w:rsidRPr="005C4F87">
        <w:rPr>
          <w:lang w:val="en-GB"/>
        </w:rPr>
        <w:t>-</w:t>
      </w:r>
    </w:p>
    <w:p w14:paraId="4E024F6A" w14:textId="77777777" w:rsidR="00B85674" w:rsidRPr="005C4F87" w:rsidRDefault="00B85674" w:rsidP="00B85674">
      <w:pPr>
        <w:jc w:val="center"/>
        <w:rPr>
          <w:lang w:val="en-GB"/>
        </w:rPr>
      </w:pPr>
      <w:r w:rsidRPr="005C4F87">
        <w:rPr>
          <w:lang w:val="en-GB"/>
        </w:rPr>
        <w:t>The International Road Transport Union (IRU)</w:t>
      </w:r>
    </w:p>
    <w:p w14:paraId="4E024F6B" w14:textId="77777777" w:rsidR="00B85674" w:rsidRPr="005C4F87" w:rsidRDefault="00B85674" w:rsidP="00B85674">
      <w:pPr>
        <w:jc w:val="center"/>
        <w:rPr>
          <w:lang w:val="en-GB"/>
        </w:rPr>
      </w:pPr>
    </w:p>
    <w:p w14:paraId="4E024F6C" w14:textId="77777777" w:rsidR="00B85674" w:rsidRPr="005C4F87" w:rsidRDefault="00B85674" w:rsidP="00B85674">
      <w:pPr>
        <w:jc w:val="center"/>
        <w:rPr>
          <w:lang w:val="en-GB"/>
        </w:rPr>
      </w:pPr>
    </w:p>
    <w:p w14:paraId="4E024F6D" w14:textId="77777777" w:rsidR="00B85674" w:rsidRPr="005C4F87" w:rsidRDefault="00B85674" w:rsidP="00B85674">
      <w:pPr>
        <w:jc w:val="center"/>
        <w:rPr>
          <w:lang w:val="en-GB"/>
        </w:rPr>
      </w:pPr>
    </w:p>
    <w:p w14:paraId="4E024F6E" w14:textId="77777777" w:rsidR="00B85674" w:rsidRPr="005C4F87" w:rsidRDefault="00B85674" w:rsidP="00B85674">
      <w:pPr>
        <w:jc w:val="center"/>
        <w:rPr>
          <w:lang w:val="en-GB"/>
        </w:rPr>
      </w:pPr>
    </w:p>
    <w:p w14:paraId="4E024F6F" w14:textId="77777777" w:rsidR="00B85674" w:rsidRPr="005C4F87" w:rsidRDefault="00B85674" w:rsidP="00995EE1">
      <w:pPr>
        <w:pStyle w:val="Nadpis1"/>
        <w:jc w:val="center"/>
        <w:rPr>
          <w:lang w:val="en-GB"/>
        </w:rPr>
      </w:pPr>
      <w:r w:rsidRPr="005C4F87">
        <w:rPr>
          <w:lang w:val="en-GB"/>
        </w:rPr>
        <w:t>The electronic communication between TIR-EPD application and NCTS – TIR application of the Czech Customs</w:t>
      </w:r>
    </w:p>
    <w:p w14:paraId="4E024F70" w14:textId="77777777" w:rsidR="00172EF9" w:rsidRPr="005C4F87" w:rsidRDefault="00172EF9" w:rsidP="00B85674">
      <w:pPr>
        <w:jc w:val="center"/>
        <w:rPr>
          <w:lang w:val="en-GB"/>
        </w:rPr>
      </w:pPr>
    </w:p>
    <w:p w14:paraId="4E024F71" w14:textId="77777777" w:rsidR="00995EE1" w:rsidRPr="005C4F87" w:rsidRDefault="00995EE1" w:rsidP="00B85674">
      <w:pPr>
        <w:jc w:val="center"/>
        <w:rPr>
          <w:lang w:val="en-GB"/>
        </w:rPr>
      </w:pPr>
    </w:p>
    <w:p w14:paraId="4E024F72" w14:textId="77777777" w:rsidR="00172EF9" w:rsidRPr="005C4F87" w:rsidRDefault="00172EF9" w:rsidP="00B85674">
      <w:pPr>
        <w:jc w:val="center"/>
        <w:rPr>
          <w:lang w:val="en-GB"/>
        </w:rPr>
      </w:pPr>
      <w:r w:rsidRPr="005C4F87">
        <w:rPr>
          <w:lang w:val="en-GB"/>
        </w:rPr>
        <w:t>Document</w:t>
      </w:r>
    </w:p>
    <w:p w14:paraId="4E024F73" w14:textId="77777777" w:rsidR="00995EE1" w:rsidRPr="005C4F87" w:rsidRDefault="00995EE1" w:rsidP="00B85674">
      <w:pPr>
        <w:jc w:val="center"/>
        <w:rPr>
          <w:lang w:val="en-GB"/>
        </w:rPr>
      </w:pPr>
    </w:p>
    <w:p w14:paraId="4E024F74" w14:textId="186F3D0C" w:rsidR="00995EE1" w:rsidRPr="005C4F87" w:rsidRDefault="00995EE1" w:rsidP="00B85674">
      <w:pPr>
        <w:jc w:val="center"/>
        <w:rPr>
          <w:lang w:val="en-GB"/>
        </w:rPr>
      </w:pPr>
      <w:r w:rsidRPr="005C4F87">
        <w:rPr>
          <w:lang w:val="en-GB"/>
        </w:rPr>
        <w:t xml:space="preserve">Ver.: </w:t>
      </w:r>
      <w:r w:rsidR="00364838">
        <w:rPr>
          <w:lang w:val="en-GB"/>
        </w:rPr>
        <w:t>3</w:t>
      </w:r>
      <w:r w:rsidRPr="005C4F87">
        <w:rPr>
          <w:lang w:val="en-GB"/>
        </w:rPr>
        <w:t>.0</w:t>
      </w:r>
    </w:p>
    <w:p w14:paraId="4E024F75" w14:textId="394EDFA4" w:rsidR="00995EE1" w:rsidRPr="005C4F87" w:rsidRDefault="00995EE1" w:rsidP="00B85674">
      <w:pPr>
        <w:jc w:val="center"/>
        <w:rPr>
          <w:lang w:val="en-GB"/>
        </w:rPr>
      </w:pPr>
      <w:r w:rsidRPr="005C4F87">
        <w:rPr>
          <w:lang w:val="en-GB"/>
        </w:rPr>
        <w:t xml:space="preserve">Date: </w:t>
      </w:r>
      <w:r w:rsidR="00364838">
        <w:rPr>
          <w:lang w:val="en-GB"/>
        </w:rPr>
        <w:t>27</w:t>
      </w:r>
      <w:r w:rsidRPr="005C4F87">
        <w:rPr>
          <w:lang w:val="en-GB"/>
        </w:rPr>
        <w:t>.</w:t>
      </w:r>
      <w:r w:rsidR="00780E87">
        <w:rPr>
          <w:lang w:val="en-GB"/>
        </w:rPr>
        <w:t>1</w:t>
      </w:r>
      <w:r w:rsidR="00364838">
        <w:rPr>
          <w:lang w:val="en-GB"/>
        </w:rPr>
        <w:t>0</w:t>
      </w:r>
      <w:r w:rsidRPr="005C4F87">
        <w:rPr>
          <w:lang w:val="en-GB"/>
        </w:rPr>
        <w:t>.20</w:t>
      </w:r>
      <w:r w:rsidR="00364838">
        <w:rPr>
          <w:lang w:val="en-GB"/>
        </w:rPr>
        <w:t>22</w:t>
      </w:r>
    </w:p>
    <w:p w14:paraId="4E024F76" w14:textId="77777777" w:rsidR="005C4F87" w:rsidRDefault="005C4F87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4E024F77" w14:textId="77777777" w:rsidR="00172EF9" w:rsidRPr="005C4F87" w:rsidRDefault="00172EF9" w:rsidP="00172EF9">
      <w:pPr>
        <w:pStyle w:val="Odstavecseseznamem"/>
        <w:numPr>
          <w:ilvl w:val="0"/>
          <w:numId w:val="1"/>
        </w:numPr>
        <w:rPr>
          <w:u w:val="single"/>
          <w:lang w:val="en-GB"/>
        </w:rPr>
      </w:pPr>
      <w:r w:rsidRPr="005C4F87">
        <w:rPr>
          <w:u w:val="single"/>
          <w:lang w:val="en-GB"/>
        </w:rPr>
        <w:lastRenderedPageBreak/>
        <w:t>Purpose of th</w:t>
      </w:r>
      <w:r w:rsidR="008B2F80" w:rsidRPr="005C4F87">
        <w:rPr>
          <w:u w:val="single"/>
          <w:lang w:val="en-GB"/>
        </w:rPr>
        <w:t>e</w:t>
      </w:r>
      <w:r w:rsidRPr="005C4F87">
        <w:rPr>
          <w:u w:val="single"/>
          <w:lang w:val="en-GB"/>
        </w:rPr>
        <w:t xml:space="preserve"> document</w:t>
      </w:r>
    </w:p>
    <w:p w14:paraId="4E024F78" w14:textId="77777777" w:rsidR="00172EF9" w:rsidRPr="005C4F87" w:rsidRDefault="00172EF9" w:rsidP="00AE4BAC">
      <w:pPr>
        <w:ind w:left="284"/>
        <w:jc w:val="both"/>
        <w:rPr>
          <w:lang w:val="en-GB"/>
        </w:rPr>
      </w:pPr>
      <w:r w:rsidRPr="005C4F87">
        <w:rPr>
          <w:lang w:val="en-GB"/>
        </w:rPr>
        <w:t xml:space="preserve">The objective of this document is to describe and define the way of communication between the </w:t>
      </w:r>
      <w:r w:rsidR="004359E3" w:rsidRPr="005C4F87">
        <w:rPr>
          <w:lang w:val="en-GB"/>
        </w:rPr>
        <w:t>TIR Electronic Pre-</w:t>
      </w:r>
      <w:proofErr w:type="spellStart"/>
      <w:r w:rsidR="004359E3" w:rsidRPr="005C4F87">
        <w:rPr>
          <w:lang w:val="en-GB"/>
        </w:rPr>
        <w:t>Dec</w:t>
      </w:r>
      <w:r w:rsidR="002D35F7" w:rsidRPr="005C4F87">
        <w:rPr>
          <w:lang w:val="en-GB"/>
        </w:rPr>
        <w:t>l</w:t>
      </w:r>
      <w:r w:rsidR="004359E3" w:rsidRPr="005C4F87">
        <w:rPr>
          <w:lang w:val="en-GB"/>
        </w:rPr>
        <w:t>ation</w:t>
      </w:r>
      <w:proofErr w:type="spellEnd"/>
      <w:r w:rsidR="004359E3" w:rsidRPr="005C4F87">
        <w:rPr>
          <w:lang w:val="en-GB"/>
        </w:rPr>
        <w:t xml:space="preserve"> system (</w:t>
      </w:r>
      <w:r w:rsidRPr="005C4F87">
        <w:rPr>
          <w:lang w:val="en-GB"/>
        </w:rPr>
        <w:t>TIR-EPD</w:t>
      </w:r>
      <w:r w:rsidR="004359E3" w:rsidRPr="005C4F87">
        <w:rPr>
          <w:lang w:val="en-GB"/>
        </w:rPr>
        <w:t>)</w:t>
      </w:r>
      <w:r w:rsidRPr="005C4F87">
        <w:rPr>
          <w:lang w:val="en-GB"/>
        </w:rPr>
        <w:t xml:space="preserve"> and the Czech </w:t>
      </w:r>
      <w:r w:rsidR="006B1A6B" w:rsidRPr="005C4F87">
        <w:rPr>
          <w:lang w:val="en-GB"/>
        </w:rPr>
        <w:t>T</w:t>
      </w:r>
      <w:r w:rsidRPr="005C4F87">
        <w:rPr>
          <w:lang w:val="en-GB"/>
        </w:rPr>
        <w:t>ran</w:t>
      </w:r>
      <w:r w:rsidR="002D35F7" w:rsidRPr="005C4F87">
        <w:rPr>
          <w:lang w:val="en-GB"/>
        </w:rPr>
        <w:t>s</w:t>
      </w:r>
      <w:r w:rsidRPr="005C4F87">
        <w:rPr>
          <w:lang w:val="en-GB"/>
        </w:rPr>
        <w:t>it system</w:t>
      </w:r>
      <w:r w:rsidR="00FC0C06" w:rsidRPr="005C4F87">
        <w:rPr>
          <w:lang w:val="en-GB"/>
        </w:rPr>
        <w:t>.</w:t>
      </w:r>
      <w:r w:rsidRPr="005C4F87">
        <w:rPr>
          <w:lang w:val="en-GB"/>
        </w:rPr>
        <w:t xml:space="preserve"> </w:t>
      </w:r>
      <w:r w:rsidR="008B2F80" w:rsidRPr="005C4F87">
        <w:rPr>
          <w:lang w:val="en-GB"/>
        </w:rPr>
        <w:t xml:space="preserve">The </w:t>
      </w:r>
      <w:r w:rsidRPr="005C4F87">
        <w:rPr>
          <w:lang w:val="en-GB"/>
        </w:rPr>
        <w:t xml:space="preserve">communication </w:t>
      </w:r>
      <w:r w:rsidR="008B2F80" w:rsidRPr="005C4F87">
        <w:rPr>
          <w:lang w:val="en-GB"/>
        </w:rPr>
        <w:t xml:space="preserve">is a </w:t>
      </w:r>
      <w:r w:rsidRPr="005C4F87">
        <w:rPr>
          <w:lang w:val="en-GB"/>
        </w:rPr>
        <w:t>„two-way communication“</w:t>
      </w:r>
      <w:r w:rsidR="005C4F87">
        <w:rPr>
          <w:lang w:val="en-GB"/>
        </w:rPr>
        <w:t xml:space="preserve"> </w:t>
      </w:r>
      <w:r w:rsidR="008B2F80" w:rsidRPr="005C4F87">
        <w:rPr>
          <w:lang w:val="en-GB"/>
        </w:rPr>
        <w:t xml:space="preserve">using </w:t>
      </w:r>
      <w:r w:rsidRPr="005C4F87">
        <w:rPr>
          <w:lang w:val="en-GB"/>
        </w:rPr>
        <w:t>the Virtual VAN Operator (VVAN) wh</w:t>
      </w:r>
      <w:r w:rsidR="004A1FFC" w:rsidRPr="005C4F87">
        <w:rPr>
          <w:lang w:val="en-GB"/>
        </w:rPr>
        <w:t xml:space="preserve">ich </w:t>
      </w:r>
      <w:r w:rsidR="008B2F80" w:rsidRPr="005C4F87">
        <w:rPr>
          <w:lang w:val="en-GB"/>
        </w:rPr>
        <w:t xml:space="preserve">is provided by </w:t>
      </w:r>
      <w:r w:rsidR="00A14405" w:rsidRPr="005C4F87">
        <w:rPr>
          <w:lang w:val="en-GB"/>
        </w:rPr>
        <w:t>t</w:t>
      </w:r>
      <w:r w:rsidR="004A1FFC" w:rsidRPr="005C4F87">
        <w:rPr>
          <w:lang w:val="en-GB"/>
        </w:rPr>
        <w:t>he Czech Customs.</w:t>
      </w:r>
    </w:p>
    <w:p w14:paraId="4E024F79" w14:textId="77777777" w:rsidR="00A42FC3" w:rsidRPr="005C4F87" w:rsidRDefault="00A42FC3" w:rsidP="00AE4BAC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 xml:space="preserve">TIR-EPD is </w:t>
      </w:r>
      <w:r w:rsidR="002D35F7" w:rsidRPr="005C4F87">
        <w:rPr>
          <w:lang w:val="en-GB"/>
        </w:rPr>
        <w:t>a</w:t>
      </w:r>
      <w:r w:rsidRPr="005C4F87">
        <w:rPr>
          <w:lang w:val="en-GB"/>
        </w:rPr>
        <w:t xml:space="preserve"> web application provided by</w:t>
      </w:r>
      <w:r w:rsidR="008B2F80" w:rsidRPr="005C4F87">
        <w:rPr>
          <w:lang w:val="en-GB"/>
        </w:rPr>
        <w:t xml:space="preserve"> the</w:t>
      </w:r>
      <w:r w:rsidRPr="005C4F87">
        <w:rPr>
          <w:lang w:val="en-GB"/>
        </w:rPr>
        <w:t xml:space="preserve"> IRU </w:t>
      </w:r>
      <w:r w:rsidR="008B2F80" w:rsidRPr="005C4F87">
        <w:rPr>
          <w:lang w:val="en-GB"/>
        </w:rPr>
        <w:t xml:space="preserve">and </w:t>
      </w:r>
      <w:r w:rsidRPr="005C4F87">
        <w:rPr>
          <w:lang w:val="en-GB"/>
        </w:rPr>
        <w:t xml:space="preserve">enables </w:t>
      </w:r>
      <w:r w:rsidR="006E14F0" w:rsidRPr="005C4F87">
        <w:rPr>
          <w:lang w:val="en-GB"/>
        </w:rPr>
        <w:t>its users</w:t>
      </w:r>
      <w:r w:rsidRPr="005C4F87">
        <w:rPr>
          <w:lang w:val="en-GB"/>
        </w:rPr>
        <w:t xml:space="preserve"> to submit th</w:t>
      </w:r>
      <w:r w:rsidR="008B2F80" w:rsidRPr="005C4F87">
        <w:rPr>
          <w:lang w:val="en-GB"/>
        </w:rPr>
        <w:t>eir</w:t>
      </w:r>
      <w:r w:rsidRPr="005C4F87">
        <w:rPr>
          <w:lang w:val="en-GB"/>
        </w:rPr>
        <w:t xml:space="preserve"> tran</w:t>
      </w:r>
      <w:r w:rsidR="002D35F7" w:rsidRPr="005C4F87">
        <w:rPr>
          <w:lang w:val="en-GB"/>
        </w:rPr>
        <w:t>s</w:t>
      </w:r>
      <w:r w:rsidRPr="005C4F87">
        <w:rPr>
          <w:lang w:val="en-GB"/>
        </w:rPr>
        <w:t>it (TIR) data to the</w:t>
      </w:r>
      <w:r w:rsidR="008B2F80" w:rsidRPr="005C4F87">
        <w:rPr>
          <w:lang w:val="en-GB"/>
        </w:rPr>
        <w:t xml:space="preserve"> Czech</w:t>
      </w:r>
      <w:r w:rsidRPr="005C4F87">
        <w:rPr>
          <w:lang w:val="en-GB"/>
        </w:rPr>
        <w:t xml:space="preserve"> Customs Administration</w:t>
      </w:r>
      <w:r w:rsidR="006E14F0" w:rsidRPr="005C4F87">
        <w:rPr>
          <w:lang w:val="en-GB"/>
        </w:rPr>
        <w:t>.</w:t>
      </w:r>
    </w:p>
    <w:p w14:paraId="4E024F7A" w14:textId="77777777" w:rsidR="00811B04" w:rsidRPr="005C4F87" w:rsidRDefault="008B2F80" w:rsidP="00AE4BAC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 xml:space="preserve">The </w:t>
      </w:r>
      <w:r w:rsidR="007D1D98" w:rsidRPr="005C4F87">
        <w:rPr>
          <w:lang w:val="en-GB"/>
        </w:rPr>
        <w:t>Czech tran</w:t>
      </w:r>
      <w:r w:rsidRPr="005C4F87">
        <w:rPr>
          <w:lang w:val="en-GB"/>
        </w:rPr>
        <w:t>s</w:t>
      </w:r>
      <w:r w:rsidR="007D1D98" w:rsidRPr="005C4F87">
        <w:rPr>
          <w:lang w:val="en-GB"/>
        </w:rPr>
        <w:t>it system is the National Tran</w:t>
      </w:r>
      <w:r w:rsidRPr="005C4F87">
        <w:rPr>
          <w:lang w:val="en-GB"/>
        </w:rPr>
        <w:t>s</w:t>
      </w:r>
      <w:r w:rsidR="007D1D98" w:rsidRPr="005C4F87">
        <w:rPr>
          <w:lang w:val="en-GB"/>
        </w:rPr>
        <w:t>it Application (NTA)</w:t>
      </w:r>
      <w:r w:rsidRPr="005C4F87">
        <w:rPr>
          <w:lang w:val="en-GB"/>
        </w:rPr>
        <w:t xml:space="preserve"> </w:t>
      </w:r>
      <w:r w:rsidR="007D1D98" w:rsidRPr="005C4F87">
        <w:rPr>
          <w:lang w:val="en-GB"/>
        </w:rPr>
        <w:t xml:space="preserve">running on a HW placed in </w:t>
      </w:r>
      <w:r w:rsidR="006E14F0" w:rsidRPr="005C4F87">
        <w:rPr>
          <w:lang w:val="en-GB"/>
        </w:rPr>
        <w:t>t</w:t>
      </w:r>
      <w:r w:rsidR="007D1D98" w:rsidRPr="005C4F87">
        <w:rPr>
          <w:lang w:val="en-GB"/>
        </w:rPr>
        <w:t>he Czech Customs Direct</w:t>
      </w:r>
      <w:r w:rsidR="003D040F" w:rsidRPr="005C4F87">
        <w:rPr>
          <w:lang w:val="en-GB"/>
        </w:rPr>
        <w:t xml:space="preserve">orate premises. The NTA processes the TIR data which are exchanged </w:t>
      </w:r>
      <w:r w:rsidRPr="005C4F87">
        <w:rPr>
          <w:lang w:val="en-GB"/>
        </w:rPr>
        <w:t xml:space="preserve">in the form of structured </w:t>
      </w:r>
      <w:r w:rsidR="00AA27FD" w:rsidRPr="005C4F87">
        <w:rPr>
          <w:lang w:val="en-GB"/>
        </w:rPr>
        <w:t xml:space="preserve">electronic messages </w:t>
      </w:r>
      <w:r w:rsidR="003D040F" w:rsidRPr="005C4F87">
        <w:rPr>
          <w:lang w:val="en-GB"/>
        </w:rPr>
        <w:t>between the TIR-EPD and the NT</w:t>
      </w:r>
      <w:r w:rsidR="00811B04" w:rsidRPr="005C4F87">
        <w:rPr>
          <w:lang w:val="en-GB"/>
        </w:rPr>
        <w:t>A</w:t>
      </w:r>
      <w:r w:rsidR="002F2602" w:rsidRPr="005C4F87">
        <w:rPr>
          <w:lang w:val="en-GB"/>
        </w:rPr>
        <w:t xml:space="preserve"> and further sends them to countries of destination involved in the NCTS project (EU countries).</w:t>
      </w:r>
    </w:p>
    <w:p w14:paraId="4E024F7B" w14:textId="77777777" w:rsidR="00811B04" w:rsidRPr="005C4F87" w:rsidRDefault="00811B04" w:rsidP="00811B04">
      <w:pPr>
        <w:numPr>
          <w:ilvl w:val="0"/>
          <w:numId w:val="1"/>
        </w:numPr>
        <w:rPr>
          <w:u w:val="single"/>
          <w:lang w:val="en-GB"/>
        </w:rPr>
      </w:pPr>
      <w:r w:rsidRPr="005C4F87">
        <w:rPr>
          <w:u w:val="single"/>
          <w:lang w:val="en-GB"/>
        </w:rPr>
        <w:t>Data exchange</w:t>
      </w:r>
    </w:p>
    <w:p w14:paraId="4E024F7C" w14:textId="77777777" w:rsidR="00811B04" w:rsidRPr="005C4F87" w:rsidRDefault="0027746A" w:rsidP="00AE4BAC">
      <w:pPr>
        <w:numPr>
          <w:ilvl w:val="1"/>
          <w:numId w:val="1"/>
        </w:numPr>
        <w:ind w:left="993" w:hanging="633"/>
        <w:jc w:val="both"/>
        <w:rPr>
          <w:u w:val="single"/>
          <w:lang w:val="en-GB"/>
        </w:rPr>
      </w:pPr>
      <w:r w:rsidRPr="005C4F87">
        <w:rPr>
          <w:lang w:val="en-GB"/>
        </w:rPr>
        <w:t xml:space="preserve">As </w:t>
      </w:r>
      <w:r w:rsidR="008B2F80" w:rsidRPr="005C4F87">
        <w:rPr>
          <w:lang w:val="en-GB"/>
        </w:rPr>
        <w:t xml:space="preserve">the </w:t>
      </w:r>
      <w:r w:rsidRPr="005C4F87">
        <w:rPr>
          <w:lang w:val="en-GB"/>
        </w:rPr>
        <w:t xml:space="preserve">common communication channel </w:t>
      </w:r>
      <w:r w:rsidR="008B2F80" w:rsidRPr="005C4F87">
        <w:rPr>
          <w:lang w:val="en-GB"/>
        </w:rPr>
        <w:t>the</w:t>
      </w:r>
      <w:r w:rsidRPr="005C4F87">
        <w:rPr>
          <w:lang w:val="en-GB"/>
        </w:rPr>
        <w:t xml:space="preserve"> Internet network </w:t>
      </w:r>
      <w:r w:rsidR="002F2602" w:rsidRPr="005C4F87">
        <w:rPr>
          <w:lang w:val="en-GB"/>
        </w:rPr>
        <w:t>connecting</w:t>
      </w:r>
      <w:r w:rsidR="008B2F80" w:rsidRPr="005C4F87">
        <w:rPr>
          <w:lang w:val="en-GB"/>
        </w:rPr>
        <w:t xml:space="preserve"> t</w:t>
      </w:r>
      <w:r w:rsidRPr="005C4F87">
        <w:rPr>
          <w:lang w:val="en-GB"/>
        </w:rPr>
        <w:t>he Czech Customs site through</w:t>
      </w:r>
      <w:r w:rsidR="008B2F80" w:rsidRPr="005C4F87">
        <w:rPr>
          <w:lang w:val="en-GB"/>
        </w:rPr>
        <w:t xml:space="preserve"> th</w:t>
      </w:r>
      <w:r w:rsidRPr="005C4F87">
        <w:rPr>
          <w:lang w:val="en-GB"/>
        </w:rPr>
        <w:t>e Virtual VAN Operator</w:t>
      </w:r>
      <w:r w:rsidR="002F2602" w:rsidRPr="005C4F87">
        <w:rPr>
          <w:lang w:val="en-GB"/>
        </w:rPr>
        <w:t xml:space="preserve"> is used</w:t>
      </w:r>
      <w:r w:rsidRPr="005C4F87">
        <w:rPr>
          <w:lang w:val="en-GB"/>
        </w:rPr>
        <w:t>.</w:t>
      </w:r>
    </w:p>
    <w:p w14:paraId="4E024F7D" w14:textId="77777777" w:rsidR="0027746A" w:rsidRPr="005C4F87" w:rsidRDefault="0027746A" w:rsidP="00AE4BAC">
      <w:pPr>
        <w:numPr>
          <w:ilvl w:val="1"/>
          <w:numId w:val="1"/>
        </w:numPr>
        <w:ind w:left="993" w:hanging="633"/>
        <w:jc w:val="both"/>
        <w:rPr>
          <w:u w:val="single"/>
          <w:lang w:val="en-GB"/>
        </w:rPr>
      </w:pPr>
      <w:r w:rsidRPr="005C4F87">
        <w:rPr>
          <w:lang w:val="en-GB"/>
        </w:rPr>
        <w:t xml:space="preserve">The </w:t>
      </w:r>
      <w:r w:rsidR="00AA27FD" w:rsidRPr="005C4F87">
        <w:rPr>
          <w:lang w:val="en-GB"/>
        </w:rPr>
        <w:t xml:space="preserve">electronic messages </w:t>
      </w:r>
      <w:r w:rsidRPr="005C4F87">
        <w:rPr>
          <w:lang w:val="en-GB"/>
        </w:rPr>
        <w:t>are in XML forma</w:t>
      </w:r>
      <w:r w:rsidR="008B2F80" w:rsidRPr="005C4F87">
        <w:rPr>
          <w:lang w:val="en-GB"/>
        </w:rPr>
        <w:t>t,</w:t>
      </w:r>
      <w:r w:rsidRPr="005C4F87">
        <w:rPr>
          <w:lang w:val="en-GB"/>
        </w:rPr>
        <w:t xml:space="preserve"> electronically signed by </w:t>
      </w:r>
      <w:r w:rsidR="008B2F80" w:rsidRPr="005C4F87">
        <w:rPr>
          <w:lang w:val="en-GB"/>
        </w:rPr>
        <w:t xml:space="preserve">a </w:t>
      </w:r>
      <w:r w:rsidR="00AA27FD" w:rsidRPr="005C4F87">
        <w:rPr>
          <w:lang w:val="en-GB"/>
        </w:rPr>
        <w:t xml:space="preserve">qualified </w:t>
      </w:r>
      <w:r w:rsidRPr="005C4F87">
        <w:rPr>
          <w:lang w:val="en-GB"/>
        </w:rPr>
        <w:t xml:space="preserve">electronic signature </w:t>
      </w:r>
      <w:r w:rsidR="00C24A36" w:rsidRPr="005C4F87">
        <w:rPr>
          <w:lang w:val="en-GB"/>
        </w:rPr>
        <w:t>(certificate).</w:t>
      </w:r>
    </w:p>
    <w:p w14:paraId="4E024F7E" w14:textId="77777777" w:rsidR="00C24A36" w:rsidRPr="005C4F87" w:rsidRDefault="00C24A36" w:rsidP="00AE4BAC">
      <w:pPr>
        <w:numPr>
          <w:ilvl w:val="1"/>
          <w:numId w:val="1"/>
        </w:numPr>
        <w:ind w:left="993" w:hanging="633"/>
        <w:jc w:val="both"/>
        <w:rPr>
          <w:u w:val="single"/>
          <w:lang w:val="en-GB"/>
        </w:rPr>
      </w:pPr>
      <w:r w:rsidRPr="005C4F87">
        <w:rPr>
          <w:lang w:val="en-GB"/>
        </w:rPr>
        <w:t>In the direction from TIR-EPD to NTA the IRU certificate is used.</w:t>
      </w:r>
    </w:p>
    <w:p w14:paraId="4E024F7F" w14:textId="77777777" w:rsidR="00C24A36" w:rsidRPr="005C4F87" w:rsidRDefault="00C24A36" w:rsidP="00AE4BAC">
      <w:pPr>
        <w:numPr>
          <w:ilvl w:val="1"/>
          <w:numId w:val="1"/>
        </w:numPr>
        <w:ind w:left="993" w:hanging="633"/>
        <w:jc w:val="both"/>
        <w:rPr>
          <w:u w:val="single"/>
          <w:lang w:val="en-GB"/>
        </w:rPr>
      </w:pPr>
      <w:r w:rsidRPr="005C4F87">
        <w:rPr>
          <w:lang w:val="en-GB"/>
        </w:rPr>
        <w:t xml:space="preserve">In the direction from NTA to TIR-EPD </w:t>
      </w:r>
      <w:r w:rsidR="008B2F80" w:rsidRPr="005C4F87">
        <w:rPr>
          <w:lang w:val="en-GB"/>
        </w:rPr>
        <w:t>t</w:t>
      </w:r>
      <w:r w:rsidRPr="005C4F87">
        <w:rPr>
          <w:lang w:val="en-GB"/>
        </w:rPr>
        <w:t>he Czech Customs Directorate certificate is used.</w:t>
      </w:r>
    </w:p>
    <w:p w14:paraId="4E024F80" w14:textId="77777777" w:rsidR="000472B0" w:rsidRPr="005C4F87" w:rsidRDefault="00904EF8" w:rsidP="00AE4BAC">
      <w:pPr>
        <w:numPr>
          <w:ilvl w:val="1"/>
          <w:numId w:val="1"/>
        </w:numPr>
        <w:ind w:left="993" w:hanging="633"/>
        <w:jc w:val="both"/>
        <w:rPr>
          <w:u w:val="single"/>
          <w:lang w:val="en-GB"/>
        </w:rPr>
      </w:pPr>
      <w:r w:rsidRPr="005C4F87">
        <w:rPr>
          <w:lang w:val="en-GB"/>
        </w:rPr>
        <w:t>The validity of the certi</w:t>
      </w:r>
      <w:r w:rsidR="00AE4BAC">
        <w:rPr>
          <w:lang w:val="en-GB"/>
        </w:rPr>
        <w:t>fi</w:t>
      </w:r>
      <w:r w:rsidRPr="005C4F87">
        <w:rPr>
          <w:lang w:val="en-GB"/>
        </w:rPr>
        <w:t>cate is one year</w:t>
      </w:r>
      <w:r w:rsidR="002F2602" w:rsidRPr="005C4F87">
        <w:rPr>
          <w:lang w:val="en-GB"/>
        </w:rPr>
        <w:t>.</w:t>
      </w:r>
      <w:r w:rsidRPr="005C4F87">
        <w:rPr>
          <w:lang w:val="en-GB"/>
        </w:rPr>
        <w:t xml:space="preserve"> </w:t>
      </w:r>
      <w:r w:rsidR="002F2602" w:rsidRPr="005C4F87">
        <w:rPr>
          <w:lang w:val="en-GB"/>
        </w:rPr>
        <w:t xml:space="preserve">An automatic </w:t>
      </w:r>
      <w:r w:rsidR="000472B0" w:rsidRPr="005C4F87">
        <w:rPr>
          <w:lang w:val="en-GB"/>
        </w:rPr>
        <w:t xml:space="preserve">email </w:t>
      </w:r>
      <w:r w:rsidR="002F2602" w:rsidRPr="005C4F87">
        <w:rPr>
          <w:lang w:val="en-GB"/>
        </w:rPr>
        <w:t>notification of the certificate expiration is</w:t>
      </w:r>
      <w:r w:rsidRPr="005C4F87">
        <w:rPr>
          <w:lang w:val="en-GB"/>
        </w:rPr>
        <w:t xml:space="preserve"> </w:t>
      </w:r>
      <w:r w:rsidR="00A45C03" w:rsidRPr="005C4F87">
        <w:rPr>
          <w:lang w:val="en-GB"/>
        </w:rPr>
        <w:t xml:space="preserve">automatically </w:t>
      </w:r>
      <w:r w:rsidRPr="005C4F87">
        <w:rPr>
          <w:lang w:val="en-GB"/>
        </w:rPr>
        <w:t xml:space="preserve">sent </w:t>
      </w:r>
      <w:r w:rsidR="002F2602" w:rsidRPr="005C4F87">
        <w:rPr>
          <w:lang w:val="en-GB"/>
        </w:rPr>
        <w:t xml:space="preserve">by the Certification Authority to the certificate owner before </w:t>
      </w:r>
      <w:r w:rsidRPr="005C4F87">
        <w:rPr>
          <w:lang w:val="en-GB"/>
        </w:rPr>
        <w:t xml:space="preserve">the </w:t>
      </w:r>
      <w:r w:rsidR="000472B0" w:rsidRPr="005C4F87">
        <w:rPr>
          <w:lang w:val="en-GB"/>
        </w:rPr>
        <w:t>certificate</w:t>
      </w:r>
      <w:r w:rsidR="00A45C03" w:rsidRPr="005C4F87">
        <w:rPr>
          <w:lang w:val="en-GB"/>
        </w:rPr>
        <w:t xml:space="preserve"> expires</w:t>
      </w:r>
      <w:r w:rsidR="000472B0" w:rsidRPr="005C4F87">
        <w:rPr>
          <w:lang w:val="en-GB"/>
        </w:rPr>
        <w:t>.</w:t>
      </w:r>
    </w:p>
    <w:p w14:paraId="4E024F81" w14:textId="77777777" w:rsidR="000472B0" w:rsidRPr="005C4F87" w:rsidRDefault="000472B0" w:rsidP="00AE4BAC">
      <w:pPr>
        <w:numPr>
          <w:ilvl w:val="1"/>
          <w:numId w:val="1"/>
        </w:numPr>
        <w:ind w:left="993" w:hanging="633"/>
        <w:jc w:val="both"/>
        <w:rPr>
          <w:u w:val="single"/>
          <w:lang w:val="en-GB"/>
        </w:rPr>
      </w:pPr>
      <w:r w:rsidRPr="005C4F87">
        <w:rPr>
          <w:lang w:val="en-GB"/>
        </w:rPr>
        <w:t>The public part of the new certificate is sent to the other party at least two working days before the certificate expiration to provide for its implementation in the system.</w:t>
      </w:r>
    </w:p>
    <w:p w14:paraId="4E024F82" w14:textId="51901612" w:rsidR="00AA27FD" w:rsidRPr="00364838" w:rsidRDefault="00AA27FD" w:rsidP="00F32FAD">
      <w:pPr>
        <w:numPr>
          <w:ilvl w:val="1"/>
          <w:numId w:val="1"/>
        </w:numPr>
        <w:ind w:left="993" w:hanging="633"/>
        <w:jc w:val="both"/>
        <w:rPr>
          <w:u w:val="single"/>
          <w:lang w:val="en-GB"/>
        </w:rPr>
      </w:pPr>
      <w:r w:rsidRPr="00364838">
        <w:rPr>
          <w:lang w:val="en-GB"/>
        </w:rPr>
        <w:t>The electronic messages are listed in Annex 1. The format of the messages has to follow the documentation for SW develop</w:t>
      </w:r>
      <w:r w:rsidR="00BC778C" w:rsidRPr="00364838">
        <w:rPr>
          <w:lang w:val="en-GB"/>
        </w:rPr>
        <w:t xml:space="preserve">ers available </w:t>
      </w:r>
      <w:r w:rsidR="00A45C03" w:rsidRPr="00364838">
        <w:rPr>
          <w:lang w:val="en-GB"/>
        </w:rPr>
        <w:t>at</w:t>
      </w:r>
      <w:r w:rsidR="00364838" w:rsidRPr="00364838">
        <w:rPr>
          <w:lang w:val="en-GB"/>
        </w:rPr>
        <w:t xml:space="preserve"> </w:t>
      </w:r>
      <w:hyperlink r:id="rId7" w:history="1">
        <w:r w:rsidR="00364838" w:rsidRPr="00364838">
          <w:rPr>
            <w:rStyle w:val="Hypertextovodkaz"/>
            <w:lang w:val="en-GB"/>
          </w:rPr>
          <w:t>https://www.celnisprava.cz/cz/clo/e-customs/ncts/Stranky/dokumentace-pro-vyrobce-SW-UCC-NCTS.aspx</w:t>
        </w:r>
      </w:hyperlink>
      <w:r w:rsidR="00364838" w:rsidRPr="00364838">
        <w:rPr>
          <w:lang w:val="en-GB"/>
        </w:rPr>
        <w:t xml:space="preserve"> </w:t>
      </w:r>
      <w:r w:rsidR="00BC778C" w:rsidRPr="00364838">
        <w:rPr>
          <w:lang w:val="en-GB"/>
        </w:rPr>
        <w:t>including the list of amendments (NCTS ECR KEL)</w:t>
      </w:r>
      <w:r w:rsidR="00A45C03" w:rsidRPr="00364838">
        <w:rPr>
          <w:lang w:val="en-GB"/>
        </w:rPr>
        <w:t>.</w:t>
      </w:r>
    </w:p>
    <w:p w14:paraId="4E024F83" w14:textId="77777777" w:rsidR="00D242B2" w:rsidRPr="005C4F87" w:rsidRDefault="00F22887" w:rsidP="00AE4BAC">
      <w:pPr>
        <w:numPr>
          <w:ilvl w:val="1"/>
          <w:numId w:val="1"/>
        </w:numPr>
        <w:ind w:left="993" w:hanging="633"/>
        <w:jc w:val="both"/>
        <w:rPr>
          <w:u w:val="single"/>
          <w:lang w:val="en-GB"/>
        </w:rPr>
      </w:pPr>
      <w:r w:rsidRPr="005C4F87">
        <w:rPr>
          <w:lang w:val="en-GB"/>
        </w:rPr>
        <w:t>P</w:t>
      </w:r>
      <w:r w:rsidR="00D242B2" w:rsidRPr="005C4F87">
        <w:rPr>
          <w:lang w:val="en-GB"/>
        </w:rPr>
        <w:t>ossible scenario</w:t>
      </w:r>
      <w:r w:rsidR="00A45C03" w:rsidRPr="005C4F87">
        <w:rPr>
          <w:lang w:val="en-GB"/>
        </w:rPr>
        <w:t>s</w:t>
      </w:r>
      <w:r w:rsidR="00D242B2" w:rsidRPr="005C4F87">
        <w:rPr>
          <w:lang w:val="en-GB"/>
        </w:rPr>
        <w:t xml:space="preserve"> of message exchange </w:t>
      </w:r>
      <w:r w:rsidR="004367C2" w:rsidRPr="005C4F87">
        <w:rPr>
          <w:lang w:val="en-GB"/>
        </w:rPr>
        <w:t>are listed in Annex 1</w:t>
      </w:r>
      <w:r w:rsidR="00A45C03" w:rsidRPr="005C4F87">
        <w:rPr>
          <w:lang w:val="en-GB"/>
        </w:rPr>
        <w:t>.</w:t>
      </w:r>
    </w:p>
    <w:p w14:paraId="4E024F84" w14:textId="221457CB" w:rsidR="00703AF5" w:rsidRPr="005C4F87" w:rsidRDefault="00703AF5" w:rsidP="00AE4BAC">
      <w:pPr>
        <w:numPr>
          <w:ilvl w:val="1"/>
          <w:numId w:val="1"/>
        </w:numPr>
        <w:ind w:left="993" w:hanging="633"/>
        <w:jc w:val="both"/>
        <w:rPr>
          <w:u w:val="single"/>
          <w:lang w:val="en-GB"/>
        </w:rPr>
      </w:pPr>
      <w:r w:rsidRPr="005C4F87">
        <w:rPr>
          <w:lang w:val="en-GB"/>
        </w:rPr>
        <w:t xml:space="preserve">In case the message sent to the NTA is </w:t>
      </w:r>
      <w:r w:rsidR="00A45C03" w:rsidRPr="005C4F87">
        <w:rPr>
          <w:lang w:val="en-GB"/>
        </w:rPr>
        <w:t xml:space="preserve">functionally </w:t>
      </w:r>
      <w:r w:rsidRPr="005C4F87">
        <w:rPr>
          <w:lang w:val="en-GB"/>
        </w:rPr>
        <w:t xml:space="preserve">erroneous the NTA </w:t>
      </w:r>
      <w:r w:rsidR="00A45C03" w:rsidRPr="005C4F87">
        <w:rPr>
          <w:lang w:val="en-GB"/>
        </w:rPr>
        <w:t xml:space="preserve">system </w:t>
      </w:r>
      <w:r w:rsidRPr="005C4F87">
        <w:rPr>
          <w:lang w:val="en-GB"/>
        </w:rPr>
        <w:t>rep</w:t>
      </w:r>
      <w:r w:rsidR="00A45C03" w:rsidRPr="005C4F87">
        <w:rPr>
          <w:lang w:val="en-GB"/>
        </w:rPr>
        <w:t>lies</w:t>
      </w:r>
      <w:r w:rsidRPr="005C4F87">
        <w:rPr>
          <w:lang w:val="en-GB"/>
        </w:rPr>
        <w:t xml:space="preserve"> </w:t>
      </w:r>
      <w:r w:rsidR="00A45C03" w:rsidRPr="005C4F87">
        <w:rPr>
          <w:lang w:val="en-GB"/>
        </w:rPr>
        <w:t>sending</w:t>
      </w:r>
      <w:r w:rsidRPr="005C4F87">
        <w:rPr>
          <w:lang w:val="en-GB"/>
        </w:rPr>
        <w:t xml:space="preserve"> </w:t>
      </w:r>
      <w:r w:rsidR="00A45C03" w:rsidRPr="005C4F87">
        <w:rPr>
          <w:lang w:val="en-GB"/>
        </w:rPr>
        <w:t>an</w:t>
      </w:r>
      <w:r w:rsidRPr="005C4F87">
        <w:rPr>
          <w:lang w:val="en-GB"/>
        </w:rPr>
        <w:t xml:space="preserve"> error message CZ</w:t>
      </w:r>
      <w:r w:rsidR="000163FF">
        <w:rPr>
          <w:lang w:val="en-GB"/>
        </w:rPr>
        <w:t>056C</w:t>
      </w:r>
      <w:r w:rsidR="00A45C03" w:rsidRPr="005C4F87">
        <w:rPr>
          <w:lang w:val="en-GB"/>
        </w:rPr>
        <w:t xml:space="preserve"> </w:t>
      </w:r>
      <w:r w:rsidR="007C120E" w:rsidRPr="005C4F87">
        <w:rPr>
          <w:lang w:val="en-GB"/>
        </w:rPr>
        <w:t xml:space="preserve">–in </w:t>
      </w:r>
      <w:r w:rsidR="00A45C03" w:rsidRPr="005C4F87">
        <w:rPr>
          <w:lang w:val="en-GB"/>
        </w:rPr>
        <w:t xml:space="preserve"> </w:t>
      </w:r>
      <w:r w:rsidR="003E3766" w:rsidRPr="005C4F87">
        <w:rPr>
          <w:lang w:val="en-GB"/>
        </w:rPr>
        <w:t xml:space="preserve">this case the declaration is not </w:t>
      </w:r>
      <w:r w:rsidR="00A45C03" w:rsidRPr="005C4F87">
        <w:rPr>
          <w:lang w:val="en-GB"/>
        </w:rPr>
        <w:t>submitted and</w:t>
      </w:r>
      <w:r w:rsidR="003E3766" w:rsidRPr="005C4F87">
        <w:rPr>
          <w:lang w:val="en-GB"/>
        </w:rPr>
        <w:t xml:space="preserve"> the TIR-EPD user is informed ab</w:t>
      </w:r>
      <w:r w:rsidR="00E86354" w:rsidRPr="005C4F87">
        <w:rPr>
          <w:lang w:val="en-GB"/>
        </w:rPr>
        <w:t xml:space="preserve">out the error of the message </w:t>
      </w:r>
      <w:r w:rsidR="00251400" w:rsidRPr="005C4F87">
        <w:rPr>
          <w:lang w:val="en-GB"/>
        </w:rPr>
        <w:t xml:space="preserve">he/she </w:t>
      </w:r>
      <w:r w:rsidR="00E86354" w:rsidRPr="005C4F87">
        <w:rPr>
          <w:lang w:val="en-GB"/>
        </w:rPr>
        <w:t>sent</w:t>
      </w:r>
      <w:r w:rsidR="007C120E" w:rsidRPr="005C4F87">
        <w:rPr>
          <w:lang w:val="en-GB"/>
        </w:rPr>
        <w:t>.</w:t>
      </w:r>
    </w:p>
    <w:p w14:paraId="4E024F85" w14:textId="77777777" w:rsidR="002D0AF9" w:rsidRPr="005C4F87" w:rsidRDefault="00E86354" w:rsidP="00AE4BAC">
      <w:pPr>
        <w:numPr>
          <w:ilvl w:val="1"/>
          <w:numId w:val="1"/>
        </w:numPr>
        <w:ind w:left="993" w:hanging="633"/>
        <w:jc w:val="both"/>
        <w:rPr>
          <w:u w:val="single"/>
          <w:lang w:val="en-GB"/>
        </w:rPr>
      </w:pPr>
      <w:r w:rsidRPr="005C4F87">
        <w:rPr>
          <w:lang w:val="en-GB"/>
        </w:rPr>
        <w:t>The error must be visible in TIR-EPD for</w:t>
      </w:r>
      <w:r w:rsidR="007C120E" w:rsidRPr="005C4F87">
        <w:rPr>
          <w:lang w:val="en-GB"/>
        </w:rPr>
        <w:t xml:space="preserve"> the</w:t>
      </w:r>
      <w:r w:rsidR="00A45C03" w:rsidRPr="005C4F87">
        <w:rPr>
          <w:lang w:val="en-GB"/>
        </w:rPr>
        <w:t xml:space="preserve"> </w:t>
      </w:r>
      <w:r w:rsidR="007C120E" w:rsidRPr="005C4F87">
        <w:rPr>
          <w:lang w:val="en-GB"/>
        </w:rPr>
        <w:t>user</w:t>
      </w:r>
      <w:r w:rsidRPr="005C4F87">
        <w:rPr>
          <w:lang w:val="en-GB"/>
        </w:rPr>
        <w:t xml:space="preserve"> </w:t>
      </w:r>
      <w:r w:rsidR="00A45C03" w:rsidRPr="005C4F87">
        <w:rPr>
          <w:lang w:val="en-GB"/>
        </w:rPr>
        <w:t>to be informed</w:t>
      </w:r>
      <w:r w:rsidRPr="005C4F87">
        <w:rPr>
          <w:lang w:val="en-GB"/>
        </w:rPr>
        <w:t xml:space="preserve"> that </w:t>
      </w:r>
      <w:r w:rsidR="002D33C3" w:rsidRPr="005C4F87">
        <w:rPr>
          <w:lang w:val="en-GB"/>
        </w:rPr>
        <w:t>the submis</w:t>
      </w:r>
      <w:r w:rsidR="00A45C03" w:rsidRPr="005C4F87">
        <w:rPr>
          <w:lang w:val="en-GB"/>
        </w:rPr>
        <w:t>s</w:t>
      </w:r>
      <w:r w:rsidR="002D33C3" w:rsidRPr="005C4F87">
        <w:rPr>
          <w:lang w:val="en-GB"/>
        </w:rPr>
        <w:t>ion was not successful</w:t>
      </w:r>
      <w:r w:rsidR="00A45C03" w:rsidRPr="005C4F87">
        <w:rPr>
          <w:lang w:val="en-GB"/>
        </w:rPr>
        <w:t>.</w:t>
      </w:r>
    </w:p>
    <w:p w14:paraId="4E024F86" w14:textId="77777777" w:rsidR="002D0AF9" w:rsidRPr="005C4F87" w:rsidRDefault="002D0AF9" w:rsidP="00AE4BAC">
      <w:pPr>
        <w:numPr>
          <w:ilvl w:val="1"/>
          <w:numId w:val="1"/>
        </w:numPr>
        <w:ind w:left="993" w:hanging="633"/>
        <w:jc w:val="both"/>
        <w:rPr>
          <w:u w:val="single"/>
          <w:lang w:val="en-GB"/>
        </w:rPr>
      </w:pPr>
      <w:r w:rsidRPr="005C4F87">
        <w:rPr>
          <w:lang w:val="en-GB"/>
        </w:rPr>
        <w:t>Error code</w:t>
      </w:r>
      <w:r w:rsidR="007C120E" w:rsidRPr="005C4F87">
        <w:rPr>
          <w:lang w:val="en-GB"/>
        </w:rPr>
        <w:t>s are</w:t>
      </w:r>
      <w:r w:rsidRPr="005C4F87">
        <w:rPr>
          <w:lang w:val="en-GB"/>
        </w:rPr>
        <w:t xml:space="preserve"> listed in A</w:t>
      </w:r>
      <w:r w:rsidR="004367C2" w:rsidRPr="005C4F87">
        <w:rPr>
          <w:lang w:val="en-GB"/>
        </w:rPr>
        <w:t>nnex 2</w:t>
      </w:r>
      <w:r w:rsidR="007C120E" w:rsidRPr="005C4F87">
        <w:rPr>
          <w:lang w:val="en-GB"/>
        </w:rPr>
        <w:t>.</w:t>
      </w:r>
    </w:p>
    <w:p w14:paraId="4E024F87" w14:textId="77777777" w:rsidR="00A32816" w:rsidRPr="005C4F87" w:rsidRDefault="00A32816" w:rsidP="00A32816">
      <w:pPr>
        <w:numPr>
          <w:ilvl w:val="0"/>
          <w:numId w:val="1"/>
        </w:numPr>
        <w:rPr>
          <w:u w:val="single"/>
          <w:lang w:val="en-GB"/>
        </w:rPr>
      </w:pPr>
      <w:r w:rsidRPr="005C4F87">
        <w:rPr>
          <w:u w:val="single"/>
          <w:lang w:val="en-GB"/>
        </w:rPr>
        <w:lastRenderedPageBreak/>
        <w:t>Customs clearance</w:t>
      </w:r>
    </w:p>
    <w:p w14:paraId="4E024F88" w14:textId="0178CA09" w:rsidR="00A32816" w:rsidRPr="005C4F87" w:rsidRDefault="00A32816" w:rsidP="00AE4BAC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>TIR-EPD user submits a transit declaration</w:t>
      </w:r>
      <w:r w:rsidR="005A28DC" w:rsidRPr="005C4F87">
        <w:rPr>
          <w:lang w:val="en-GB"/>
        </w:rPr>
        <w:t xml:space="preserve"> – message CZ015</w:t>
      </w:r>
      <w:r w:rsidR="000163FF">
        <w:rPr>
          <w:lang w:val="en-GB"/>
        </w:rPr>
        <w:t>C</w:t>
      </w:r>
      <w:r w:rsidR="00A45C03" w:rsidRPr="005C4F87">
        <w:rPr>
          <w:lang w:val="en-GB"/>
        </w:rPr>
        <w:t>.</w:t>
      </w:r>
    </w:p>
    <w:p w14:paraId="4E024F89" w14:textId="0FE68D00" w:rsidR="005A28DC" w:rsidRPr="005C4F87" w:rsidRDefault="005A28DC" w:rsidP="00AE4BAC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 xml:space="preserve">In case of </w:t>
      </w:r>
      <w:r w:rsidR="00A45C03" w:rsidRPr="005C4F87">
        <w:rPr>
          <w:lang w:val="en-GB"/>
        </w:rPr>
        <w:t xml:space="preserve">an </w:t>
      </w:r>
      <w:r w:rsidRPr="005C4F87">
        <w:rPr>
          <w:lang w:val="en-GB"/>
        </w:rPr>
        <w:t xml:space="preserve">erroneous message </w:t>
      </w:r>
      <w:r w:rsidR="00DF4938" w:rsidRPr="005C4F87">
        <w:rPr>
          <w:lang w:val="en-GB"/>
        </w:rPr>
        <w:t xml:space="preserve">the NTA rejects </w:t>
      </w:r>
      <w:r w:rsidR="007C120E" w:rsidRPr="005C4F87">
        <w:rPr>
          <w:lang w:val="en-GB"/>
        </w:rPr>
        <w:t>it</w:t>
      </w:r>
      <w:r w:rsidR="00DF4938" w:rsidRPr="005C4F87">
        <w:rPr>
          <w:lang w:val="en-GB"/>
        </w:rPr>
        <w:t xml:space="preserve"> </w:t>
      </w:r>
      <w:r w:rsidR="00A45C03" w:rsidRPr="005C4F87">
        <w:rPr>
          <w:lang w:val="en-GB"/>
        </w:rPr>
        <w:t>sending</w:t>
      </w:r>
      <w:r w:rsidR="00DF4938" w:rsidRPr="005C4F87">
        <w:rPr>
          <w:lang w:val="en-GB"/>
        </w:rPr>
        <w:t xml:space="preserve"> the </w:t>
      </w:r>
      <w:r w:rsidR="00450E80">
        <w:rPr>
          <w:lang w:val="en-GB"/>
        </w:rPr>
        <w:t xml:space="preserve">functional </w:t>
      </w:r>
      <w:r w:rsidR="00DF4938" w:rsidRPr="005C4F87">
        <w:rPr>
          <w:lang w:val="en-GB"/>
        </w:rPr>
        <w:t>error message CZ</w:t>
      </w:r>
      <w:r w:rsidR="000163FF">
        <w:rPr>
          <w:lang w:val="en-GB"/>
        </w:rPr>
        <w:t>056C</w:t>
      </w:r>
      <w:r w:rsidR="00450E80">
        <w:rPr>
          <w:lang w:val="en-GB"/>
        </w:rPr>
        <w:t xml:space="preserve"> or CZ917C in case XML error. </w:t>
      </w:r>
    </w:p>
    <w:p w14:paraId="4E024F8A" w14:textId="3A21DB40" w:rsidR="005A28DC" w:rsidRPr="005C4F87" w:rsidRDefault="00DF4938" w:rsidP="00AE4BAC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>In case of</w:t>
      </w:r>
      <w:r w:rsidR="007C120E" w:rsidRPr="005C4F87">
        <w:rPr>
          <w:lang w:val="en-GB"/>
        </w:rPr>
        <w:t xml:space="preserve"> </w:t>
      </w:r>
      <w:r w:rsidR="00A45C03" w:rsidRPr="005C4F87">
        <w:rPr>
          <w:lang w:val="en-GB"/>
        </w:rPr>
        <w:t xml:space="preserve">a </w:t>
      </w:r>
      <w:r w:rsidRPr="005C4F87">
        <w:rPr>
          <w:lang w:val="en-GB"/>
        </w:rPr>
        <w:t>correct message the NTA sends the registration message CZ0</w:t>
      </w:r>
      <w:r w:rsidR="000163FF">
        <w:rPr>
          <w:lang w:val="en-GB"/>
        </w:rPr>
        <w:t>928C</w:t>
      </w:r>
      <w:r w:rsidR="006E14F0" w:rsidRPr="005C4F87">
        <w:rPr>
          <w:lang w:val="en-GB"/>
        </w:rPr>
        <w:t>.</w:t>
      </w:r>
    </w:p>
    <w:p w14:paraId="4E024F8B" w14:textId="77777777" w:rsidR="0008204F" w:rsidRPr="005C4F87" w:rsidRDefault="00A45C03" w:rsidP="00AE4BAC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>The t</w:t>
      </w:r>
      <w:r w:rsidR="0008204F" w:rsidRPr="005C4F87">
        <w:rPr>
          <w:lang w:val="en-GB"/>
        </w:rPr>
        <w:t>rader asks</w:t>
      </w:r>
      <w:r w:rsidR="006E14F0" w:rsidRPr="005C4F87">
        <w:rPr>
          <w:lang w:val="en-GB"/>
        </w:rPr>
        <w:t xml:space="preserve"> f</w:t>
      </w:r>
      <w:r w:rsidR="0008204F" w:rsidRPr="005C4F87">
        <w:rPr>
          <w:lang w:val="en-GB"/>
        </w:rPr>
        <w:t xml:space="preserve">or </w:t>
      </w:r>
      <w:r w:rsidR="006E14F0" w:rsidRPr="005C4F87">
        <w:rPr>
          <w:lang w:val="en-GB"/>
        </w:rPr>
        <w:t xml:space="preserve">his </w:t>
      </w:r>
      <w:r w:rsidR="0008204F" w:rsidRPr="005C4F87">
        <w:rPr>
          <w:lang w:val="en-GB"/>
        </w:rPr>
        <w:t xml:space="preserve">data acceptance </w:t>
      </w:r>
      <w:r w:rsidR="006E14F0" w:rsidRPr="005C4F87">
        <w:rPr>
          <w:lang w:val="en-GB"/>
        </w:rPr>
        <w:t xml:space="preserve">at a customs office </w:t>
      </w:r>
      <w:r w:rsidR="0008204F" w:rsidRPr="005C4F87">
        <w:rPr>
          <w:lang w:val="en-GB"/>
        </w:rPr>
        <w:t>refe</w:t>
      </w:r>
      <w:r w:rsidR="006E14F0" w:rsidRPr="005C4F87">
        <w:rPr>
          <w:lang w:val="en-GB"/>
        </w:rPr>
        <w:t>r</w:t>
      </w:r>
      <w:r w:rsidR="0008204F" w:rsidRPr="005C4F87">
        <w:rPr>
          <w:lang w:val="en-GB"/>
        </w:rPr>
        <w:t>ring to Carnet TIR Numb</w:t>
      </w:r>
      <w:r w:rsidR="007C120E" w:rsidRPr="005C4F87">
        <w:rPr>
          <w:lang w:val="en-GB"/>
        </w:rPr>
        <w:t>e</w:t>
      </w:r>
      <w:r w:rsidR="0008204F" w:rsidRPr="005C4F87">
        <w:rPr>
          <w:lang w:val="en-GB"/>
        </w:rPr>
        <w:t>r</w:t>
      </w:r>
      <w:r w:rsidR="007C120E" w:rsidRPr="005C4F87">
        <w:rPr>
          <w:lang w:val="en-GB"/>
        </w:rPr>
        <w:t>.</w:t>
      </w:r>
    </w:p>
    <w:p w14:paraId="4E024F8C" w14:textId="3FE4FF87" w:rsidR="0008204F" w:rsidRPr="005C4F87" w:rsidRDefault="0008204F" w:rsidP="00AE4BAC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 xml:space="preserve">The customs officer </w:t>
      </w:r>
      <w:r w:rsidR="003704B4" w:rsidRPr="005C4F87">
        <w:rPr>
          <w:lang w:val="en-GB"/>
        </w:rPr>
        <w:t>identifies</w:t>
      </w:r>
      <w:r w:rsidRPr="005C4F87">
        <w:rPr>
          <w:lang w:val="en-GB"/>
        </w:rPr>
        <w:t xml:space="preserve"> the declaration data</w:t>
      </w:r>
      <w:r w:rsidR="00607F0A" w:rsidRPr="005C4F87">
        <w:rPr>
          <w:lang w:val="en-GB"/>
        </w:rPr>
        <w:t xml:space="preserve"> in the system</w:t>
      </w:r>
      <w:r w:rsidR="006E14F0" w:rsidRPr="005C4F87">
        <w:rPr>
          <w:lang w:val="en-GB"/>
        </w:rPr>
        <w:t>,</w:t>
      </w:r>
      <w:r w:rsidRPr="005C4F87">
        <w:rPr>
          <w:lang w:val="en-GB"/>
        </w:rPr>
        <w:t xml:space="preserve"> </w:t>
      </w:r>
      <w:r w:rsidR="006E14F0" w:rsidRPr="005C4F87">
        <w:rPr>
          <w:lang w:val="en-GB"/>
        </w:rPr>
        <w:t>compares</w:t>
      </w:r>
      <w:r w:rsidRPr="005C4F87">
        <w:rPr>
          <w:lang w:val="en-GB"/>
        </w:rPr>
        <w:t xml:space="preserve"> </w:t>
      </w:r>
      <w:r w:rsidR="0030265F" w:rsidRPr="005C4F87">
        <w:rPr>
          <w:lang w:val="en-GB"/>
        </w:rPr>
        <w:t>the data with Carnet TIR document</w:t>
      </w:r>
      <w:r w:rsidRPr="005C4F87">
        <w:rPr>
          <w:lang w:val="en-GB"/>
        </w:rPr>
        <w:t xml:space="preserve"> and accepts the declaration – message CZ028</w:t>
      </w:r>
      <w:r w:rsidR="000163FF">
        <w:rPr>
          <w:lang w:val="en-GB"/>
        </w:rPr>
        <w:t>C</w:t>
      </w:r>
      <w:r w:rsidR="006E14F0" w:rsidRPr="005C4F87">
        <w:rPr>
          <w:lang w:val="en-GB"/>
        </w:rPr>
        <w:t>.</w:t>
      </w:r>
    </w:p>
    <w:p w14:paraId="4E024F8D" w14:textId="4F2BB4F6" w:rsidR="0030265F" w:rsidRPr="005C4F87" w:rsidRDefault="0030265F" w:rsidP="00AE4BAC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 xml:space="preserve">In case the data </w:t>
      </w:r>
      <w:r w:rsidR="006E14F0" w:rsidRPr="005C4F87">
        <w:rPr>
          <w:lang w:val="en-GB"/>
        </w:rPr>
        <w:t xml:space="preserve">do not comply with the </w:t>
      </w:r>
      <w:r w:rsidRPr="005C4F87">
        <w:rPr>
          <w:lang w:val="en-GB"/>
        </w:rPr>
        <w:t xml:space="preserve">Carnet TIR document </w:t>
      </w:r>
      <w:r w:rsidR="006D5C2D" w:rsidRPr="005C4F87">
        <w:rPr>
          <w:lang w:val="en-GB"/>
        </w:rPr>
        <w:t xml:space="preserve">the customs officer </w:t>
      </w:r>
      <w:r w:rsidR="006E14F0" w:rsidRPr="005C4F87">
        <w:rPr>
          <w:lang w:val="en-GB"/>
        </w:rPr>
        <w:t>does not</w:t>
      </w:r>
      <w:r w:rsidR="006D5C2D" w:rsidRPr="005C4F87">
        <w:rPr>
          <w:lang w:val="en-GB"/>
        </w:rPr>
        <w:t xml:space="preserve"> release the declaration – message CZ0</w:t>
      </w:r>
      <w:r w:rsidR="002D0AF9" w:rsidRPr="005C4F87">
        <w:rPr>
          <w:lang w:val="en-GB"/>
        </w:rPr>
        <w:t>09</w:t>
      </w:r>
      <w:r w:rsidR="000163FF">
        <w:rPr>
          <w:lang w:val="en-GB"/>
        </w:rPr>
        <w:t>C</w:t>
      </w:r>
      <w:r w:rsidR="006E14F0" w:rsidRPr="005C4F87">
        <w:rPr>
          <w:lang w:val="en-GB"/>
        </w:rPr>
        <w:t>.</w:t>
      </w:r>
    </w:p>
    <w:p w14:paraId="4E024F8E" w14:textId="5ACA0FD1" w:rsidR="00666F2B" w:rsidRPr="005C4F87" w:rsidRDefault="005B3901" w:rsidP="00AE4BAC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>In case of compliance the customs officer releases the declaration</w:t>
      </w:r>
      <w:r w:rsidR="00666F2B" w:rsidRPr="005C4F87">
        <w:rPr>
          <w:lang w:val="en-GB"/>
        </w:rPr>
        <w:t xml:space="preserve"> – message CZ029</w:t>
      </w:r>
      <w:r w:rsidR="000163FF">
        <w:rPr>
          <w:lang w:val="en-GB"/>
        </w:rPr>
        <w:t>C</w:t>
      </w:r>
      <w:r w:rsidR="006E14F0" w:rsidRPr="005C4F87">
        <w:rPr>
          <w:lang w:val="en-GB"/>
        </w:rPr>
        <w:t>.</w:t>
      </w:r>
    </w:p>
    <w:p w14:paraId="4E024F8F" w14:textId="19E6F7E2" w:rsidR="002D0AF9" w:rsidRPr="005C4F87" w:rsidRDefault="006E14F0" w:rsidP="00AE4BAC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>On</w:t>
      </w:r>
      <w:r w:rsidR="002D0AF9" w:rsidRPr="005C4F87">
        <w:rPr>
          <w:lang w:val="en-GB"/>
        </w:rPr>
        <w:t xml:space="preserve"> </w:t>
      </w:r>
      <w:r w:rsidR="000163FF">
        <w:rPr>
          <w:lang w:val="en-GB"/>
        </w:rPr>
        <w:t>TIR carnet Holder’s</w:t>
      </w:r>
      <w:r w:rsidRPr="005C4F87">
        <w:rPr>
          <w:lang w:val="en-GB"/>
        </w:rPr>
        <w:t xml:space="preserve"> </w:t>
      </w:r>
      <w:r w:rsidR="002D0AF9" w:rsidRPr="005C4F87">
        <w:rPr>
          <w:lang w:val="en-GB"/>
        </w:rPr>
        <w:t xml:space="preserve">request or </w:t>
      </w:r>
      <w:r w:rsidRPr="005C4F87">
        <w:rPr>
          <w:lang w:val="en-GB"/>
        </w:rPr>
        <w:t xml:space="preserve">if </w:t>
      </w:r>
      <w:r w:rsidR="002D0AF9" w:rsidRPr="005C4F87">
        <w:rPr>
          <w:lang w:val="en-GB"/>
        </w:rPr>
        <w:t>no usage</w:t>
      </w:r>
      <w:r w:rsidRPr="005C4F87">
        <w:rPr>
          <w:lang w:val="en-GB"/>
        </w:rPr>
        <w:t xml:space="preserve"> of the data has been made</w:t>
      </w:r>
      <w:r w:rsidR="002D0AF9" w:rsidRPr="005C4F87">
        <w:rPr>
          <w:lang w:val="en-GB"/>
        </w:rPr>
        <w:t xml:space="preserve"> within 30 days the declaration is</w:t>
      </w:r>
      <w:r w:rsidR="007C120E" w:rsidRPr="005C4F87">
        <w:rPr>
          <w:lang w:val="en-GB"/>
        </w:rPr>
        <w:t xml:space="preserve"> automatically</w:t>
      </w:r>
      <w:r w:rsidR="002D0AF9" w:rsidRPr="005C4F87">
        <w:rPr>
          <w:lang w:val="en-GB"/>
        </w:rPr>
        <w:t xml:space="preserve"> deleted – message CZ051</w:t>
      </w:r>
      <w:r w:rsidR="000163FF">
        <w:rPr>
          <w:lang w:val="en-GB"/>
        </w:rPr>
        <w:t>C</w:t>
      </w:r>
      <w:r w:rsidRPr="005C4F87">
        <w:rPr>
          <w:lang w:val="en-GB"/>
        </w:rPr>
        <w:t>.</w:t>
      </w:r>
    </w:p>
    <w:p w14:paraId="4E024F90" w14:textId="77777777" w:rsidR="00DD2B7E" w:rsidRPr="005C4F87" w:rsidRDefault="00DD2B7E" w:rsidP="00DD2B7E">
      <w:pPr>
        <w:rPr>
          <w:lang w:val="en-GB"/>
        </w:rPr>
      </w:pPr>
    </w:p>
    <w:p w14:paraId="4E024F91" w14:textId="77777777" w:rsidR="003B117A" w:rsidRPr="00AE4BAC" w:rsidRDefault="00DD2B7E" w:rsidP="003B117A">
      <w:pPr>
        <w:numPr>
          <w:ilvl w:val="0"/>
          <w:numId w:val="1"/>
        </w:numPr>
        <w:rPr>
          <w:u w:val="single"/>
          <w:lang w:val="en-GB"/>
        </w:rPr>
      </w:pPr>
      <w:r w:rsidRPr="00AE4BAC">
        <w:rPr>
          <w:u w:val="single"/>
          <w:lang w:val="en-GB"/>
        </w:rPr>
        <w:t xml:space="preserve">SW </w:t>
      </w:r>
      <w:r w:rsidR="003B117A" w:rsidRPr="00AE4BAC">
        <w:rPr>
          <w:u w:val="single"/>
          <w:lang w:val="en-GB"/>
        </w:rPr>
        <w:t>Documentation</w:t>
      </w:r>
    </w:p>
    <w:p w14:paraId="1407EFFB" w14:textId="3B227AA8" w:rsidR="00364838" w:rsidRPr="00364838" w:rsidRDefault="003B117A" w:rsidP="00364838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 xml:space="preserve">The actual documentation (cs) is located </w:t>
      </w:r>
      <w:r w:rsidR="006E14F0" w:rsidRPr="005C4F87">
        <w:rPr>
          <w:lang w:val="en-GB"/>
        </w:rPr>
        <w:t>at</w:t>
      </w:r>
      <w:r w:rsidRPr="005C4F87">
        <w:rPr>
          <w:lang w:val="en-GB"/>
        </w:rPr>
        <w:t xml:space="preserve"> </w:t>
      </w:r>
      <w:hyperlink r:id="rId8" w:history="1">
        <w:r w:rsidR="00364838" w:rsidRPr="00364838">
          <w:rPr>
            <w:rStyle w:val="Hypertextovodkaz"/>
            <w:lang w:val="en-GB"/>
          </w:rPr>
          <w:t>https://www.celnisprava.cz/cz/clo/e-customs/ncts/Stranky/dokumentace-pro-vyrobce-SW-UCC-NCTS.aspx</w:t>
        </w:r>
      </w:hyperlink>
      <w:r w:rsidR="00364838" w:rsidRPr="00364838">
        <w:rPr>
          <w:lang w:val="en-GB"/>
        </w:rPr>
        <w:t>.</w:t>
      </w:r>
    </w:p>
    <w:p w14:paraId="4E024F93" w14:textId="77777777" w:rsidR="003B117A" w:rsidRPr="005C4F87" w:rsidRDefault="003B117A" w:rsidP="00AE4BAC">
      <w:pPr>
        <w:numPr>
          <w:ilvl w:val="1"/>
          <w:numId w:val="1"/>
        </w:numPr>
        <w:ind w:left="993" w:hanging="633"/>
        <w:jc w:val="both"/>
        <w:rPr>
          <w:lang w:val="en-GB"/>
        </w:rPr>
      </w:pPr>
      <w:r w:rsidRPr="005C4F87">
        <w:rPr>
          <w:lang w:val="en-GB"/>
        </w:rPr>
        <w:t>The new version changes are published in KEL</w:t>
      </w:r>
      <w:r w:rsidR="007C120E" w:rsidRPr="005C4F87">
        <w:rPr>
          <w:lang w:val="en-GB"/>
        </w:rPr>
        <w:t>s</w:t>
      </w:r>
      <w:r w:rsidRPr="005C4F87">
        <w:rPr>
          <w:lang w:val="en-GB"/>
        </w:rPr>
        <w:t xml:space="preserve"> (Known Error List) (cs)</w:t>
      </w:r>
      <w:r w:rsidR="007C120E" w:rsidRPr="005C4F87">
        <w:rPr>
          <w:lang w:val="en-GB"/>
        </w:rPr>
        <w:t>.</w:t>
      </w:r>
    </w:p>
    <w:p w14:paraId="4E024F94" w14:textId="77777777" w:rsidR="00961A30" w:rsidRPr="005C4F87" w:rsidRDefault="00961A30" w:rsidP="00961A30">
      <w:pPr>
        <w:rPr>
          <w:lang w:val="en-GB"/>
        </w:rPr>
      </w:pPr>
    </w:p>
    <w:p w14:paraId="4E024F95" w14:textId="77777777" w:rsidR="00961A30" w:rsidRPr="005C4F87" w:rsidRDefault="00961A30" w:rsidP="00961A30">
      <w:pPr>
        <w:rPr>
          <w:lang w:val="en-GB"/>
        </w:rPr>
      </w:pPr>
    </w:p>
    <w:p w14:paraId="4E024F96" w14:textId="77777777" w:rsidR="00E511F5" w:rsidRPr="005C4F87" w:rsidRDefault="00E511F5" w:rsidP="00961A30">
      <w:pPr>
        <w:rPr>
          <w:lang w:val="en-GB"/>
        </w:rPr>
      </w:pPr>
    </w:p>
    <w:p w14:paraId="4E024F97" w14:textId="77777777" w:rsidR="00961A30" w:rsidRPr="005C4F87" w:rsidRDefault="00961A30" w:rsidP="00961A30">
      <w:pPr>
        <w:rPr>
          <w:lang w:val="en-GB"/>
        </w:rPr>
      </w:pPr>
    </w:p>
    <w:p w14:paraId="4E024F98" w14:textId="77777777" w:rsidR="00961A30" w:rsidRPr="005C4F87" w:rsidRDefault="00961A30" w:rsidP="00961A30">
      <w:pPr>
        <w:rPr>
          <w:lang w:val="en-GB"/>
        </w:rPr>
      </w:pPr>
    </w:p>
    <w:p w14:paraId="4E024F99" w14:textId="77777777" w:rsidR="00AE4BAC" w:rsidRDefault="00AE4BAC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4E024F9A" w14:textId="77777777" w:rsidR="00961A30" w:rsidRPr="00AE4BAC" w:rsidRDefault="00961A30" w:rsidP="00961A30">
      <w:pPr>
        <w:jc w:val="center"/>
        <w:rPr>
          <w:u w:val="single"/>
          <w:lang w:val="en-GB"/>
        </w:rPr>
      </w:pPr>
      <w:r w:rsidRPr="00AE4BAC">
        <w:rPr>
          <w:u w:val="single"/>
          <w:lang w:val="en-GB"/>
        </w:rPr>
        <w:lastRenderedPageBreak/>
        <w:t>Annex 1 –</w:t>
      </w:r>
      <w:r w:rsidR="007C120E" w:rsidRPr="00AE4BAC">
        <w:rPr>
          <w:u w:val="single"/>
          <w:lang w:val="en-GB"/>
        </w:rPr>
        <w:t>S</w:t>
      </w:r>
      <w:r w:rsidRPr="00AE4BAC">
        <w:rPr>
          <w:u w:val="single"/>
          <w:lang w:val="en-GB"/>
        </w:rPr>
        <w:t>cenario</w:t>
      </w:r>
      <w:r w:rsidR="00A7769B" w:rsidRPr="00AE4BAC">
        <w:rPr>
          <w:u w:val="single"/>
          <w:lang w:val="en-GB"/>
        </w:rPr>
        <w:t>s</w:t>
      </w:r>
    </w:p>
    <w:p w14:paraId="4E024F9B" w14:textId="77777777" w:rsidR="00961A30" w:rsidRPr="005C4F87" w:rsidRDefault="00961A30" w:rsidP="00961A30">
      <w:pPr>
        <w:jc w:val="center"/>
        <w:rPr>
          <w:lang w:val="en-GB"/>
        </w:rPr>
      </w:pPr>
    </w:p>
    <w:p w14:paraId="4E024F9C" w14:textId="3FDCA5D4" w:rsidR="00961A30" w:rsidRPr="005C4F87" w:rsidRDefault="00E9476C" w:rsidP="00961A30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ED29D1F" wp14:editId="4B9E3774">
            <wp:extent cx="5778394" cy="3269166"/>
            <wp:effectExtent l="0" t="0" r="63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645" cy="327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4F9D" w14:textId="77777777" w:rsidR="004367C2" w:rsidRPr="005C4F87" w:rsidRDefault="004367C2" w:rsidP="004367C2">
      <w:pPr>
        <w:rPr>
          <w:lang w:val="en-GB"/>
        </w:rPr>
      </w:pPr>
    </w:p>
    <w:p w14:paraId="4E024F9E" w14:textId="77777777" w:rsidR="004367C2" w:rsidRPr="005C4F87" w:rsidRDefault="004367C2" w:rsidP="004367C2">
      <w:pPr>
        <w:rPr>
          <w:lang w:val="en-GB"/>
        </w:rPr>
      </w:pPr>
    </w:p>
    <w:p w14:paraId="4E024F9F" w14:textId="77777777" w:rsidR="00666F2B" w:rsidRPr="00AE4BAC" w:rsidRDefault="00961A30" w:rsidP="00961A30">
      <w:pPr>
        <w:jc w:val="center"/>
        <w:rPr>
          <w:u w:val="single"/>
          <w:lang w:val="en-GB"/>
        </w:rPr>
      </w:pPr>
      <w:r w:rsidRPr="00AE4BAC">
        <w:rPr>
          <w:u w:val="single"/>
          <w:lang w:val="en-GB"/>
        </w:rPr>
        <w:t xml:space="preserve">Annex 2 – </w:t>
      </w:r>
      <w:r w:rsidR="006E14F0" w:rsidRPr="00AE4BAC">
        <w:rPr>
          <w:u w:val="single"/>
          <w:lang w:val="en-GB"/>
        </w:rPr>
        <w:t>E</w:t>
      </w:r>
      <w:r w:rsidRPr="00AE4BAC">
        <w:rPr>
          <w:u w:val="single"/>
          <w:lang w:val="en-GB"/>
        </w:rPr>
        <w:t>rror code list</w:t>
      </w:r>
    </w:p>
    <w:p w14:paraId="4E024FA0" w14:textId="77777777" w:rsidR="00961A30" w:rsidRPr="005C4F87" w:rsidRDefault="00961A30" w:rsidP="00961A30">
      <w:pPr>
        <w:jc w:val="center"/>
        <w:rPr>
          <w:lang w:val="en-GB"/>
        </w:rPr>
      </w:pPr>
    </w:p>
    <w:tbl>
      <w:tblPr>
        <w:tblW w:w="90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93"/>
        <w:gridCol w:w="7645"/>
      </w:tblGrid>
      <w:tr w:rsidR="00961A30" w:rsidRPr="005C4F87" w14:paraId="4E024FA4" w14:textId="77777777" w:rsidTr="00AC4B9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A1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A2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A3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Generic error</w:t>
            </w:r>
          </w:p>
        </w:tc>
      </w:tr>
      <w:tr w:rsidR="00961A30" w:rsidRPr="005C4F87" w14:paraId="4E024FA8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A5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A6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A7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Invalid group repetition</w:t>
            </w:r>
          </w:p>
        </w:tc>
      </w:tr>
      <w:tr w:rsidR="00961A30" w:rsidRPr="005C4F87" w14:paraId="4E024FAC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A9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AA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AB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 xml:space="preserve">Missing required element </w:t>
            </w:r>
          </w:p>
        </w:tc>
      </w:tr>
      <w:tr w:rsidR="00961A30" w:rsidRPr="005C4F87" w14:paraId="4E024FB0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AD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AE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AF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Redundant element, cannot be used</w:t>
            </w:r>
          </w:p>
        </w:tc>
      </w:tr>
      <w:tr w:rsidR="00961A30" w:rsidRPr="005C4F87" w14:paraId="4E024FB4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B1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B2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B3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Element value too short</w:t>
            </w:r>
          </w:p>
        </w:tc>
      </w:tr>
      <w:tr w:rsidR="00961A30" w:rsidRPr="005C4F87" w14:paraId="4E024FB8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B5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B6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B7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Element value too long</w:t>
            </w:r>
          </w:p>
        </w:tc>
      </w:tr>
      <w:tr w:rsidR="00961A30" w:rsidRPr="005C4F87" w14:paraId="4E024FBC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B9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BA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BB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Invalid type characters</w:t>
            </w:r>
          </w:p>
        </w:tc>
      </w:tr>
      <w:tr w:rsidR="00961A30" w:rsidRPr="005C4F87" w14:paraId="4E024FC0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BD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BE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BF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 xml:space="preserve">Value not a part of the applicable code list </w:t>
            </w:r>
          </w:p>
        </w:tc>
      </w:tr>
      <w:tr w:rsidR="00961A30" w:rsidRPr="005C4F87" w14:paraId="4E024FC4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C1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C2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C3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Group/element not conform  with rules</w:t>
            </w:r>
          </w:p>
        </w:tc>
      </w:tr>
      <w:tr w:rsidR="00961A30" w:rsidRPr="005C4F87" w14:paraId="4E024FC8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C5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C6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C7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Error in guarantee</w:t>
            </w:r>
          </w:p>
        </w:tc>
      </w:tr>
      <w:tr w:rsidR="00961A30" w:rsidRPr="005C4F87" w14:paraId="4E024FCC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C9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CA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CB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TARIC check failed</w:t>
            </w:r>
          </w:p>
        </w:tc>
      </w:tr>
      <w:tr w:rsidR="00961A30" w:rsidRPr="005C4F87" w14:paraId="4E024FD0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CD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90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CE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CF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Unknown LRN or MRN</w:t>
            </w:r>
          </w:p>
        </w:tc>
      </w:tr>
      <w:tr w:rsidR="00961A30" w:rsidRPr="005C4F87" w14:paraId="4E024FD4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D1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91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D2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D3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Duplicate LRN</w:t>
            </w:r>
          </w:p>
        </w:tc>
      </w:tr>
      <w:tr w:rsidR="00961A30" w:rsidRPr="005C4F87" w14:paraId="4E024FD8" w14:textId="77777777" w:rsidTr="00AC4B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D5" w14:textId="77777777" w:rsidR="00961A30" w:rsidRPr="005C4F87" w:rsidRDefault="00961A30" w:rsidP="00AC4B9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92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D6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D7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Message out of sequence</w:t>
            </w:r>
          </w:p>
        </w:tc>
      </w:tr>
      <w:tr w:rsidR="00961A30" w:rsidRPr="005C4F87" w14:paraId="4E024FDC" w14:textId="77777777" w:rsidTr="00AC4B91">
        <w:trPr>
          <w:trHeight w:val="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D9" w14:textId="77777777" w:rsidR="00961A30" w:rsidRPr="005C4F87" w:rsidRDefault="00961A30" w:rsidP="00AC4B91">
            <w:pPr>
              <w:spacing w:after="0" w:line="47" w:lineRule="atLeast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93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4FDA" w14:textId="77777777" w:rsidR="00961A30" w:rsidRPr="005C4F87" w:rsidRDefault="00961A30" w:rsidP="00AC4B9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"/>
                <w:szCs w:val="20"/>
                <w:lang w:val="en-GB" w:eastAsia="cs-CZ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024FDB" w14:textId="77777777" w:rsidR="00961A30" w:rsidRPr="005C4F87" w:rsidRDefault="00961A30" w:rsidP="00AC4B91">
            <w:pPr>
              <w:spacing w:after="0" w:line="47" w:lineRule="atLeas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</w:pPr>
            <w:r w:rsidRPr="005C4F87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n-GB" w:eastAsia="cs-CZ"/>
              </w:rPr>
              <w:t>Invalid MRN</w:t>
            </w:r>
          </w:p>
        </w:tc>
      </w:tr>
    </w:tbl>
    <w:p w14:paraId="4E024FDD" w14:textId="77777777" w:rsidR="00961A30" w:rsidRPr="005C4F87" w:rsidRDefault="00961A30" w:rsidP="00961A30">
      <w:pPr>
        <w:jc w:val="center"/>
        <w:rPr>
          <w:lang w:val="en-GB"/>
        </w:rPr>
      </w:pPr>
    </w:p>
    <w:p w14:paraId="4E024FDE" w14:textId="77777777" w:rsidR="00666F2B" w:rsidRPr="005C4F87" w:rsidRDefault="00666F2B" w:rsidP="00666F2B">
      <w:pPr>
        <w:rPr>
          <w:lang w:val="en-GB"/>
        </w:rPr>
      </w:pPr>
    </w:p>
    <w:p w14:paraId="4E024FDF" w14:textId="77777777" w:rsidR="00DD2B7E" w:rsidRPr="005C4F87" w:rsidRDefault="00DD2B7E" w:rsidP="00666F2B">
      <w:pPr>
        <w:rPr>
          <w:lang w:val="en-GB"/>
        </w:rPr>
      </w:pPr>
    </w:p>
    <w:sectPr w:rsidR="00DD2B7E" w:rsidRPr="005C4F87" w:rsidSect="00674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361F" w14:textId="77777777" w:rsidR="007A60DE" w:rsidRDefault="007A60DE" w:rsidP="00364838">
      <w:pPr>
        <w:spacing w:after="0" w:line="240" w:lineRule="auto"/>
      </w:pPr>
      <w:r>
        <w:separator/>
      </w:r>
    </w:p>
  </w:endnote>
  <w:endnote w:type="continuationSeparator" w:id="0">
    <w:p w14:paraId="471FCD2A" w14:textId="77777777" w:rsidR="007A60DE" w:rsidRDefault="007A60DE" w:rsidP="003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B7FC" w14:textId="77777777" w:rsidR="007A60DE" w:rsidRDefault="007A60DE" w:rsidP="00364838">
      <w:pPr>
        <w:spacing w:after="0" w:line="240" w:lineRule="auto"/>
      </w:pPr>
      <w:r>
        <w:separator/>
      </w:r>
    </w:p>
  </w:footnote>
  <w:footnote w:type="continuationSeparator" w:id="0">
    <w:p w14:paraId="44E27157" w14:textId="77777777" w:rsidR="007A60DE" w:rsidRDefault="007A60DE" w:rsidP="00364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5E2"/>
    <w:multiLevelType w:val="hybridMultilevel"/>
    <w:tmpl w:val="55E00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02DE9"/>
    <w:multiLevelType w:val="multilevel"/>
    <w:tmpl w:val="738646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0A74C9"/>
    <w:multiLevelType w:val="hybridMultilevel"/>
    <w:tmpl w:val="1A16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94C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6529AB"/>
    <w:multiLevelType w:val="hybridMultilevel"/>
    <w:tmpl w:val="6352A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74"/>
    <w:rsid w:val="00011422"/>
    <w:rsid w:val="000142DE"/>
    <w:rsid w:val="000163FF"/>
    <w:rsid w:val="00021026"/>
    <w:rsid w:val="000472B0"/>
    <w:rsid w:val="00055705"/>
    <w:rsid w:val="00060BA9"/>
    <w:rsid w:val="00073F0F"/>
    <w:rsid w:val="000806B6"/>
    <w:rsid w:val="0008204F"/>
    <w:rsid w:val="000925EF"/>
    <w:rsid w:val="000963CE"/>
    <w:rsid w:val="00097E36"/>
    <w:rsid w:val="001045CB"/>
    <w:rsid w:val="00172EF9"/>
    <w:rsid w:val="001871AA"/>
    <w:rsid w:val="001B2733"/>
    <w:rsid w:val="001E1118"/>
    <w:rsid w:val="002203AF"/>
    <w:rsid w:val="00225253"/>
    <w:rsid w:val="002269D7"/>
    <w:rsid w:val="00245258"/>
    <w:rsid w:val="00251400"/>
    <w:rsid w:val="00261ED4"/>
    <w:rsid w:val="0027746A"/>
    <w:rsid w:val="002B7AA8"/>
    <w:rsid w:val="002C4CA1"/>
    <w:rsid w:val="002D0AF9"/>
    <w:rsid w:val="002D33C3"/>
    <w:rsid w:val="002D35F7"/>
    <w:rsid w:val="002E0FE4"/>
    <w:rsid w:val="002E785D"/>
    <w:rsid w:val="002F2602"/>
    <w:rsid w:val="0030265F"/>
    <w:rsid w:val="00351696"/>
    <w:rsid w:val="00357AC4"/>
    <w:rsid w:val="00364838"/>
    <w:rsid w:val="003704B4"/>
    <w:rsid w:val="003832C2"/>
    <w:rsid w:val="00387392"/>
    <w:rsid w:val="00390207"/>
    <w:rsid w:val="003A2EE6"/>
    <w:rsid w:val="003B117A"/>
    <w:rsid w:val="003D040F"/>
    <w:rsid w:val="003E11AD"/>
    <w:rsid w:val="003E3766"/>
    <w:rsid w:val="004124CE"/>
    <w:rsid w:val="004359E3"/>
    <w:rsid w:val="004367C2"/>
    <w:rsid w:val="00450E80"/>
    <w:rsid w:val="00467E31"/>
    <w:rsid w:val="00477CD9"/>
    <w:rsid w:val="004A1FFC"/>
    <w:rsid w:val="005205EF"/>
    <w:rsid w:val="005368F3"/>
    <w:rsid w:val="0054628C"/>
    <w:rsid w:val="005520FE"/>
    <w:rsid w:val="00573E53"/>
    <w:rsid w:val="005A28DC"/>
    <w:rsid w:val="005A632D"/>
    <w:rsid w:val="005B3901"/>
    <w:rsid w:val="005C4F87"/>
    <w:rsid w:val="005E6081"/>
    <w:rsid w:val="005E7C12"/>
    <w:rsid w:val="00607596"/>
    <w:rsid w:val="00607F0A"/>
    <w:rsid w:val="00610B6F"/>
    <w:rsid w:val="006114FE"/>
    <w:rsid w:val="00666F2B"/>
    <w:rsid w:val="00667939"/>
    <w:rsid w:val="00674896"/>
    <w:rsid w:val="006B1A6B"/>
    <w:rsid w:val="006D0F0E"/>
    <w:rsid w:val="006D5C2D"/>
    <w:rsid w:val="006E14F0"/>
    <w:rsid w:val="00703AF5"/>
    <w:rsid w:val="00715650"/>
    <w:rsid w:val="00727D81"/>
    <w:rsid w:val="0074704A"/>
    <w:rsid w:val="00780A99"/>
    <w:rsid w:val="00780E87"/>
    <w:rsid w:val="007A5EE1"/>
    <w:rsid w:val="007A60DE"/>
    <w:rsid w:val="007C120E"/>
    <w:rsid w:val="007D1D98"/>
    <w:rsid w:val="007E6D17"/>
    <w:rsid w:val="00811B04"/>
    <w:rsid w:val="00833097"/>
    <w:rsid w:val="00840EF4"/>
    <w:rsid w:val="00850C90"/>
    <w:rsid w:val="00854E51"/>
    <w:rsid w:val="008648ED"/>
    <w:rsid w:val="0089375A"/>
    <w:rsid w:val="008971B5"/>
    <w:rsid w:val="008A0DF4"/>
    <w:rsid w:val="008A64DB"/>
    <w:rsid w:val="008B2F80"/>
    <w:rsid w:val="00904EF8"/>
    <w:rsid w:val="00931345"/>
    <w:rsid w:val="00952F07"/>
    <w:rsid w:val="00961A30"/>
    <w:rsid w:val="00995B8A"/>
    <w:rsid w:val="00995EE1"/>
    <w:rsid w:val="00A14405"/>
    <w:rsid w:val="00A23E56"/>
    <w:rsid w:val="00A32816"/>
    <w:rsid w:val="00A42CA2"/>
    <w:rsid w:val="00A42FC3"/>
    <w:rsid w:val="00A45C03"/>
    <w:rsid w:val="00A7769B"/>
    <w:rsid w:val="00AA27FD"/>
    <w:rsid w:val="00AD2562"/>
    <w:rsid w:val="00AE1227"/>
    <w:rsid w:val="00AE22FD"/>
    <w:rsid w:val="00AE4BAC"/>
    <w:rsid w:val="00B23FE3"/>
    <w:rsid w:val="00B26BDD"/>
    <w:rsid w:val="00B47E31"/>
    <w:rsid w:val="00B85674"/>
    <w:rsid w:val="00BB7892"/>
    <w:rsid w:val="00BC778C"/>
    <w:rsid w:val="00BF5F6C"/>
    <w:rsid w:val="00C24A36"/>
    <w:rsid w:val="00C5532D"/>
    <w:rsid w:val="00C77303"/>
    <w:rsid w:val="00C82423"/>
    <w:rsid w:val="00D1450A"/>
    <w:rsid w:val="00D242B2"/>
    <w:rsid w:val="00D550EE"/>
    <w:rsid w:val="00D61E10"/>
    <w:rsid w:val="00DA611D"/>
    <w:rsid w:val="00DD2B7E"/>
    <w:rsid w:val="00DD3A27"/>
    <w:rsid w:val="00DE1B0E"/>
    <w:rsid w:val="00DF191A"/>
    <w:rsid w:val="00DF4938"/>
    <w:rsid w:val="00E2448C"/>
    <w:rsid w:val="00E37653"/>
    <w:rsid w:val="00E511F5"/>
    <w:rsid w:val="00E608C2"/>
    <w:rsid w:val="00E7170D"/>
    <w:rsid w:val="00E86354"/>
    <w:rsid w:val="00E9476C"/>
    <w:rsid w:val="00EB5774"/>
    <w:rsid w:val="00ED2BEB"/>
    <w:rsid w:val="00F21FE8"/>
    <w:rsid w:val="00F22887"/>
    <w:rsid w:val="00F32A0A"/>
    <w:rsid w:val="00F5362A"/>
    <w:rsid w:val="00FB5A73"/>
    <w:rsid w:val="00FC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4F68"/>
  <w15:docId w15:val="{900AF8E7-B4CA-4AD4-8156-ACCCD3AA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89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95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EF9"/>
    <w:pPr>
      <w:ind w:left="720"/>
      <w:contextualSpacing/>
    </w:pPr>
  </w:style>
  <w:style w:type="character" w:styleId="Hypertextovodkaz">
    <w:name w:val="Hyperlink"/>
    <w:uiPriority w:val="99"/>
    <w:unhideWhenUsed/>
    <w:rsid w:val="00BC778C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666F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F2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66F2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F2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6F2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6F2B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995E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0163FF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6483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4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nisprava.cz/cz/clo/e-customs/ncts/Stranky/dokumentace-pro-vyrobce-SW-UCC-NCTS.aspx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celnisprava.cz/cz/clo/e-customs/ncts/Stranky/dokumentace-pro-vyrobce-SW-UCC-NCTS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0C587B76E5A4895B420324CA9E9A6" ma:contentTypeVersion="1" ma:contentTypeDescription="Vytvoří nový dokument" ma:contentTypeScope="" ma:versionID="104efc28928604bf5ff7e13e4c0ed011">
  <xsd:schema xmlns:xsd="http://www.w3.org/2001/XMLSchema" xmlns:xs="http://www.w3.org/2001/XMLSchema" xmlns:p="http://schemas.microsoft.com/office/2006/metadata/properties" xmlns:ns2="3da994db-eb24-480e-a959-a695785c41cf" targetNamespace="http://schemas.microsoft.com/office/2006/metadata/properties" ma:root="true" ma:fieldsID="72c03a43af49b0311e527a96ab1260e2" ns2:_="">
    <xsd:import namespace="3da994db-eb24-480e-a959-a695785c41cf"/>
    <xsd:element name="properties">
      <xsd:complexType>
        <xsd:sequence>
          <xsd:element name="documentManagement">
            <xsd:complexType>
              <xsd:all>
                <xsd:element ref="ns2:Typ_x0020_dokument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994db-eb24-480e-a959-a695785c41cf" elementFormDefault="qualified">
    <xsd:import namespace="http://schemas.microsoft.com/office/2006/documentManagement/types"/>
    <xsd:import namespace="http://schemas.microsoft.com/office/infopath/2007/PartnerControls"/>
    <xsd:element name="Typ_x0020_dokumentace" ma:index="8" nillable="true" ma:displayName="Typ dokumentace" ma:default="1. RFC seznam" ma:format="Dropdown" ma:internalName="Typ_x0020_dokumentace">
      <xsd:simpleType>
        <xsd:restriction base="dms:Choice">
          <xsd:enumeration value="1. RFC seznam"/>
          <xsd:enumeration value="2. Struktura zpráv a šablony"/>
          <xsd:enumeration value="3. ECR dokumentace"/>
          <xsd:enumeration value="4. Testování"/>
          <xsd:enumeration value="5. Ostatní"/>
          <xsd:enumeration value="6. IR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dokumentace xmlns="3da994db-eb24-480e-a959-a695785c41cf">6. IRU</Typ_x0020_dokumentace>
  </documentManagement>
</p:properties>
</file>

<file path=customXml/itemProps1.xml><?xml version="1.0" encoding="utf-8"?>
<ds:datastoreItem xmlns:ds="http://schemas.openxmlformats.org/officeDocument/2006/customXml" ds:itemID="{F1C85656-BF2D-4D6A-8C38-69292140E153}"/>
</file>

<file path=customXml/itemProps2.xml><?xml version="1.0" encoding="utf-8"?>
<ds:datastoreItem xmlns:ds="http://schemas.openxmlformats.org/officeDocument/2006/customXml" ds:itemID="{D434FE16-9CF0-4580-9ED8-B5042A5B7D57}"/>
</file>

<file path=customXml/itemProps3.xml><?xml version="1.0" encoding="utf-8"?>
<ds:datastoreItem xmlns:ds="http://schemas.openxmlformats.org/officeDocument/2006/customXml" ds:itemID="{F2CD7CCB-5416-411C-9344-90518978C0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GRC</Company>
  <LinksUpToDate>false</LinksUpToDate>
  <CharactersWithSpaces>4422</CharactersWithSpaces>
  <SharedDoc>false</SharedDoc>
  <HLinks>
    <vt:vector size="6" baseType="variant">
      <vt:variant>
        <vt:i4>4587590</vt:i4>
      </vt:variant>
      <vt:variant>
        <vt:i4>0</vt:i4>
      </vt:variant>
      <vt:variant>
        <vt:i4>0</vt:i4>
      </vt:variant>
      <vt:variant>
        <vt:i4>5</vt:i4>
      </vt:variant>
      <vt:variant>
        <vt:lpwstr>http://www.celnisprava.cz/cz/clo/e-customs/ncts/Stranky/dokumentace-pro-vyrobce-software.aspx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electronic communication between TIR-EPD and NCTS P5</dc:title>
  <dc:subject/>
  <dc:creator>Hynek Petrovič</dc:creator>
  <cp:keywords/>
  <dc:description/>
  <cp:lastModifiedBy>Šíma František, Bc.</cp:lastModifiedBy>
  <cp:revision>5</cp:revision>
  <dcterms:created xsi:type="dcterms:W3CDTF">2022-05-27T10:45:00Z</dcterms:created>
  <dcterms:modified xsi:type="dcterms:W3CDTF">2022-10-27T05:28:00Z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0x0101005D00C587B76E5A4895B420324CA9E9A6</vt:lpwstr>
  </property>
  <property fmtid="{D5CDD505-2E9C-101B-9397-08002B2CF9AE}" pid="3" name="Order">
    <vt:r8>1600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